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886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8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988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both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36"/>
                <w:szCs w:val="36"/>
                <w:lang w:val="en-US" w:eastAsia="zh-CN"/>
              </w:rPr>
              <w:t>沧州市新华区商务局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36"/>
                <w:szCs w:val="36"/>
                <w:lang w:val="en-US" w:eastAsia="zh-CN"/>
              </w:rPr>
              <w:t>2023年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36"/>
                <w:szCs w:val="36"/>
              </w:rPr>
              <w:t>政府信息公开工作年度报告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/>
              <w:ind w:left="0" w:right="0" w:firstLine="420"/>
              <w:jc w:val="both"/>
              <w:textAlignment w:val="baseline"/>
              <w:rPr>
                <w:rFonts w:ascii="Calibri" w:hAnsi="Calibri" w:cs="Calibri"/>
                <w:i w:val="0"/>
                <w:iCs w:val="0"/>
                <w:caps w:val="0"/>
                <w:color w:val="50505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根据《中华人民共和国政府信息公开条例》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  <w:t>要求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，特向社会公布202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年度本单位信息公开年度报告。本报告的统计数据时限为202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年1月1日至202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年12月31日。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/>
              <w:ind w:left="0" w:right="0" w:firstLine="420"/>
              <w:jc w:val="both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一、总体情况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/>
              <w:ind w:left="0" w:right="0" w:firstLine="420"/>
              <w:jc w:val="both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202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年，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  <w:t>沧州市新华区商务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局认真贯彻落实《中华人民共和国政府信息公开条例》要求，建立和完善政府信息公开制度，认真办理政府信息公开申请，深化政务服务，加强政策解读，切实保障人民群众的知情权、参与权、监督权和表达权，积极推进政务公开制度化、规范化，不断提升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  <w:t>商务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领域政府信息公开的水平和质量。</w:t>
            </w:r>
          </w:p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/>
              <w:ind w:left="0" w:leftChars="0" w:right="0" w:rightChars="0" w:firstLine="420" w:firstLineChars="0"/>
              <w:jc w:val="both"/>
              <w:textAlignment w:val="baseline"/>
              <w:rPr>
                <w:rFonts w:hint="default" w:ascii="Calibri" w:hAnsi="Calibri" w:cs="Calibri"/>
                <w:i w:val="0"/>
                <w:iCs w:val="0"/>
                <w:caps w:val="0"/>
                <w:color w:val="50505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Calibri" w:hAnsi="Calibri" w:cs="Calibri" w:eastAsiaTheme="minorEastAsia"/>
                <w:i w:val="0"/>
                <w:iCs w:val="0"/>
                <w:caps w:val="0"/>
                <w:color w:val="505050"/>
                <w:spacing w:val="0"/>
                <w:kern w:val="0"/>
                <w:sz w:val="21"/>
                <w:szCs w:val="21"/>
                <w:lang w:val="en-US" w:eastAsia="zh-CN" w:bidi="ar"/>
              </w:rPr>
              <w:t>（一）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主动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</w:rPr>
              <w:t>公开情况。2023年，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我局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</w:rPr>
              <w:t>严格按照《中华人民共和国政府信息公开条例》要求和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新华区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</w:rPr>
              <w:t>人民政府信息公开办的统一部署，结合工作实际，遵循“公开为常态，不公开为例外”的原则，不断深化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商务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</w:rPr>
              <w:t>政府信息公开工作，紧紧抓住招商引资、安全生产、创城创卫等关系人民群众的大事进行及时跟进并及时公开。</w:t>
            </w:r>
          </w:p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/>
              <w:ind w:left="0" w:leftChars="0" w:right="0" w:rightChars="0" w:firstLine="420" w:firstLineChars="0"/>
              <w:jc w:val="both"/>
              <w:textAlignment w:val="baseline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（二）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</w:rPr>
              <w:t>依申请公开政府信息情况。一是拓宽受理渠道，完善依申请公开专栏，为申请人提供便捷服务，规范依申请公开办理工作流程，提升办理工作质量，依法保障公众合理信息需求。二是依申请公开情况。2023年，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我局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</w:rPr>
              <w:t>未收到任何公民、法人或者其他组织向我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局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</w:rPr>
              <w:t>获取相关政府信息的公开申请。三是行政复议和行政诉讼情况。2023年，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我局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</w:rPr>
              <w:t>未发生因信息公开引起的行政复议、行政诉讼情况，未接到任何因信息公开引起的投诉举报。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/>
              <w:ind w:left="0" w:right="0" w:firstLine="420"/>
              <w:jc w:val="both"/>
              <w:textAlignment w:val="baseline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（三）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</w:rPr>
              <w:t>政府信息管理情况。我局把政府信息公开工作与其他日常工作同安排、同检查、同考核。由一名分管领导牵头主抓信息公开工作，局办公室具体承办，相关科室配合工作。局办公室由专人负责信息公开日常工作，各科室都设立了专职分管人员。建立了“主要领导亲自抓、分管领导具体抓、专门机构抓落实”的工作机制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/>
              <w:ind w:left="0" w:right="0" w:firstLine="420"/>
              <w:jc w:val="both"/>
              <w:textAlignment w:val="baseline"/>
              <w:rPr>
                <w:rFonts w:hint="default" w:ascii="Calibri" w:hAnsi="Calibri" w:cs="Calibri"/>
                <w:i w:val="0"/>
                <w:iCs w:val="0"/>
                <w:caps w:val="0"/>
                <w:color w:val="505050"/>
                <w:spacing w:val="0"/>
                <w:sz w:val="21"/>
                <w:szCs w:val="21"/>
                <w:u w:val="none"/>
              </w:rPr>
            </w:pPr>
            <w:bookmarkStart w:id="0" w:name="_GoBack"/>
            <w:bookmarkEnd w:id="0"/>
            <w:r>
              <w:rPr>
                <w:rFonts w:hint="eastAsia" w:ascii="Calibri" w:hAnsi="Calibri" w:cs="Calibri" w:eastAsiaTheme="minorEastAsia"/>
                <w:i w:val="0"/>
                <w:iCs w:val="0"/>
                <w:caps w:val="0"/>
                <w:color w:val="505050"/>
                <w:spacing w:val="0"/>
                <w:kern w:val="0"/>
                <w:sz w:val="21"/>
                <w:szCs w:val="21"/>
                <w:lang w:val="en-US" w:eastAsia="zh-CN" w:bidi="ar"/>
              </w:rPr>
              <w:t>（四）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政府信息公开平台建设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  <w:t>情况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我局政府信息公开工作通过网络、公开栏等形式稳步推进，为公众提供了快捷方便的服务，保证了政府信息畅通和及时有效。为确保信息质量，我们建立稳定的信息公开队伍，不断提升业务能力，提高信息工作人员的能力和水平，确保了信息质量。年内，没有发生因政府信息应公开而未公开或不应公开、公开不及时情况造成的事故或群众投诉，实现了制度性、政策性内容长期公开，阶段性工作逐段公开，经常性工作及时公开，动态性工作随时公开。</w:t>
            </w:r>
          </w:p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/>
              <w:ind w:left="0" w:leftChars="0" w:right="0" w:rightChars="0" w:firstLine="420" w:firstLineChars="0"/>
              <w:jc w:val="both"/>
              <w:textAlignment w:val="baseline"/>
              <w:rPr>
                <w:rFonts w:hint="default" w:ascii="Calibri" w:hAnsi="Calibri" w:cs="Calibri"/>
                <w:i w:val="0"/>
                <w:iCs w:val="0"/>
                <w:caps w:val="0"/>
                <w:color w:val="50505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Calibri" w:hAnsi="Calibri" w:cs="Calibri" w:eastAsiaTheme="minorEastAsia"/>
                <w:i w:val="0"/>
                <w:iCs w:val="0"/>
                <w:caps w:val="0"/>
                <w:color w:val="505050"/>
                <w:spacing w:val="0"/>
                <w:kern w:val="0"/>
                <w:sz w:val="21"/>
                <w:szCs w:val="21"/>
                <w:lang w:val="en-US" w:eastAsia="zh-CN" w:bidi="ar"/>
              </w:rPr>
              <w:t>（五）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监督保障情况。严格执行信息发布审核机制，明确信息发布需经过编辑人员编辑、负责人审核、分管领导审批，确保信息发布质量。为加强和完善政府信息公开制度建设工作，制定了信息公开指南，明确信息公开职责、程序和时限等要求，形成了统一的信息公开工作管理体系，信息公开工作更加规范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both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二、主动公开政府信息情况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both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  <w:tbl>
            <w:tblPr>
              <w:tblStyle w:val="4"/>
              <w:tblW w:w="9740" w:type="dxa"/>
              <w:jc w:val="center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Layout w:type="autofit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2435"/>
              <w:gridCol w:w="2435"/>
              <w:gridCol w:w="2435"/>
              <w:gridCol w:w="2435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9740" w:type="dxa"/>
                  <w:gridSpan w:val="4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C6D9F1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第二十条第（一）项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2435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信息内容</w:t>
                  </w:r>
                </w:p>
              </w:tc>
              <w:tc>
                <w:tcPr>
                  <w:tcW w:w="243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本年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制发件数</w:t>
                  </w:r>
                </w:p>
              </w:tc>
              <w:tc>
                <w:tcPr>
                  <w:tcW w:w="243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本年废止件数</w:t>
                  </w:r>
                </w:p>
              </w:tc>
              <w:tc>
                <w:tcPr>
                  <w:tcW w:w="243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现行有效件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数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2435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规章</w:t>
                  </w:r>
                </w:p>
              </w:tc>
              <w:tc>
                <w:tcPr>
                  <w:tcW w:w="24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24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24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eastAsiaTheme="minorEastAsia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2435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行政规范性文件</w:t>
                  </w:r>
                </w:p>
              </w:tc>
              <w:tc>
                <w:tcPr>
                  <w:tcW w:w="24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24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24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eastAsiaTheme="minorEastAsia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9740" w:type="dxa"/>
                  <w:gridSpan w:val="4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C6D9F1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第二十条第（五）项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2435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信息内容</w:t>
                  </w:r>
                </w:p>
              </w:tc>
              <w:tc>
                <w:tcPr>
                  <w:tcW w:w="7305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本年处理决定数量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2435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行政许可</w:t>
                  </w:r>
                </w:p>
              </w:tc>
              <w:tc>
                <w:tcPr>
                  <w:tcW w:w="7305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eastAsiaTheme="minorEastAsia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9740" w:type="dxa"/>
                  <w:gridSpan w:val="4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C6D9F1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第二十条第（六）项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2435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信息内容</w:t>
                  </w:r>
                </w:p>
              </w:tc>
              <w:tc>
                <w:tcPr>
                  <w:tcW w:w="7305" w:type="dxa"/>
                  <w:gridSpan w:val="3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本年处理决定数量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2435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行政处罚</w:t>
                  </w:r>
                </w:p>
              </w:tc>
              <w:tc>
                <w:tcPr>
                  <w:tcW w:w="7305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center"/>
                    <w:rPr>
                      <w:rFonts w:hint="default"/>
                      <w:color w:val="333333"/>
                      <w:sz w:val="21"/>
                      <w:szCs w:val="21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2435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行政强制</w:t>
                  </w:r>
                </w:p>
              </w:tc>
              <w:tc>
                <w:tcPr>
                  <w:tcW w:w="7305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center"/>
                    <w:rPr>
                      <w:rFonts w:hint="eastAsia" w:eastAsiaTheme="minorEastAsia"/>
                      <w:color w:val="333333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333333"/>
                      <w:sz w:val="21"/>
                      <w:szCs w:val="21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9740" w:type="dxa"/>
                  <w:gridSpan w:val="4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C6D9F1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第二十条第（八）项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2435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信息内容</w:t>
                  </w:r>
                </w:p>
              </w:tc>
              <w:tc>
                <w:tcPr>
                  <w:tcW w:w="7305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本年收费金额（单位：万元）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2435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行政事业性收费</w:t>
                  </w:r>
                </w:p>
              </w:tc>
              <w:tc>
                <w:tcPr>
                  <w:tcW w:w="7305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default" w:ascii="宋体" w:eastAsiaTheme="minorEastAsia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both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三、收到和处理政府信息公开申请情况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both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  <w:tbl>
            <w:tblPr>
              <w:tblStyle w:val="4"/>
              <w:tblW w:w="9748" w:type="dxa"/>
              <w:jc w:val="center"/>
              <w:tblBorders>
                <w:top w:val="outset" w:color="auto" w:sz="6" w:space="0"/>
                <w:left w:val="outset" w:color="auto" w:sz="6" w:space="0"/>
                <w:bottom w:val="outset" w:color="auto" w:sz="6" w:space="0"/>
                <w:right w:val="outset" w:color="auto" w:sz="6" w:space="0"/>
                <w:insideH w:val="outset" w:color="auto" w:sz="6" w:space="0"/>
                <w:insideV w:val="outset" w:color="auto" w:sz="6" w:space="0"/>
              </w:tblBorders>
              <w:shd w:val="clear" w:color="auto" w:fill="auto"/>
              <w:tblLayout w:type="autofit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934"/>
              <w:gridCol w:w="1134"/>
              <w:gridCol w:w="2542"/>
              <w:gridCol w:w="734"/>
              <w:gridCol w:w="734"/>
              <w:gridCol w:w="734"/>
              <w:gridCol w:w="734"/>
              <w:gridCol w:w="734"/>
              <w:gridCol w:w="734"/>
              <w:gridCol w:w="734"/>
            </w:tblGrid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4610" w:type="dxa"/>
                  <w:gridSpan w:val="3"/>
                  <w:vMerge w:val="restart"/>
                  <w:tcBorders>
                    <w:top w:val="single" w:color="auto" w:sz="8" w:space="0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楷体" w:hAnsi="楷体" w:eastAsia="楷体" w:cs="楷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（本列数据的勾稽关系为：第一项加第二项之和，等于第三项加第四项之和）</w:t>
                  </w:r>
                </w:p>
              </w:tc>
              <w:tc>
                <w:tcPr>
                  <w:tcW w:w="5138" w:type="dxa"/>
                  <w:gridSpan w:val="7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申请人情况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4610" w:type="dxa"/>
                  <w:gridSpan w:val="3"/>
                  <w:vMerge w:val="continue"/>
                  <w:tcBorders>
                    <w:top w:val="single" w:color="auto" w:sz="8" w:space="0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734" w:type="dxa"/>
                  <w:vMerge w:val="restart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自然人</w:t>
                  </w:r>
                </w:p>
              </w:tc>
              <w:tc>
                <w:tcPr>
                  <w:tcW w:w="3670" w:type="dxa"/>
                  <w:gridSpan w:val="5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法人或其他组织</w:t>
                  </w:r>
                </w:p>
              </w:tc>
              <w:tc>
                <w:tcPr>
                  <w:tcW w:w="734" w:type="dxa"/>
                  <w:vMerge w:val="restart"/>
                  <w:tcBorders>
                    <w:top w:val="single" w:color="auto" w:sz="8" w:space="0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总计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4610" w:type="dxa"/>
                  <w:gridSpan w:val="3"/>
                  <w:vMerge w:val="continue"/>
                  <w:tcBorders>
                    <w:top w:val="single" w:color="auto" w:sz="8" w:space="0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734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商业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企业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科研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机构</w:t>
                  </w:r>
                </w:p>
              </w:tc>
              <w:tc>
                <w:tcPr>
                  <w:tcW w:w="734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社会公益组织</w:t>
                  </w:r>
                </w:p>
              </w:tc>
              <w:tc>
                <w:tcPr>
                  <w:tcW w:w="734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法律服务机构</w:t>
                  </w:r>
                </w:p>
              </w:tc>
              <w:tc>
                <w:tcPr>
                  <w:tcW w:w="734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其他</w:t>
                  </w:r>
                </w:p>
              </w:tc>
              <w:tc>
                <w:tcPr>
                  <w:tcW w:w="734" w:type="dxa"/>
                  <w:vMerge w:val="continue"/>
                  <w:tcBorders>
                    <w:top w:val="single" w:color="auto" w:sz="8" w:space="0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4610" w:type="dxa"/>
                  <w:gridSpan w:val="3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一、本年新收政府信息公开申请数量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eastAsiaTheme="minorEastAsia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eastAsiaTheme="minorEastAsia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eastAsiaTheme="minorEastAsia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eastAsiaTheme="minorEastAsia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eastAsiaTheme="minorEastAsia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eastAsiaTheme="minorEastAsia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eastAsiaTheme="minorEastAsia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4610" w:type="dxa"/>
                  <w:gridSpan w:val="3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二、上年结转政府信息公开申请数量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restart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三、本年度办理结果</w:t>
                  </w:r>
                </w:p>
              </w:tc>
              <w:tc>
                <w:tcPr>
                  <w:tcW w:w="3676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（一）予以公开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676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（二）部分公开</w:t>
                  </w:r>
                  <w:r>
                    <w:rPr>
                      <w:rFonts w:hint="eastAsia" w:ascii="楷体" w:hAnsi="楷体" w:eastAsia="楷体" w:cs="楷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（区分处理的，只计这一情形，不计其他情形）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restart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（三）不予公开</w:t>
                  </w: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1.属于国家秘密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2.其他法律行政法规禁止公开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3.危及“三安全一稳定”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4.保护第三方合法权益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5.属于三类内部事务信息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6.属于四类过程性信息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7.属于行政执法案卷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8.属于行政查询事项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restart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（四）无法提供</w:t>
                  </w: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1.本机关不掌握相关政府信息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2.没有现成信息需要另行制作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3.补正后申请内容仍不明确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restart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（五）不予处理</w:t>
                  </w: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1.信访举报投诉类申请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2.重复申请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3.要求提供公开出版物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4.无正当理由大量反复申请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779" w:hRule="atLeast"/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both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5.要求行政机关确认或重新出具已获取信息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restart"/>
                  <w:tcBorders>
                    <w:top w:val="outset" w:color="auto" w:sz="8" w:space="0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（六）其他处理</w:t>
                  </w: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both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1.申请人无正当理由逾期不补正、行政机关不再处理其政府信息公开申请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continue"/>
                  <w:tcBorders>
                    <w:top w:val="outset" w:color="auto" w:sz="8" w:space="0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both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2.申请人逾期未按收费通知要求缴纳费用、行政机关不再处理其政府信息公开申请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continue"/>
                  <w:tcBorders>
                    <w:top w:val="outset" w:color="auto" w:sz="8" w:space="0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3.其他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676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（七）总计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4610" w:type="dxa"/>
                  <w:gridSpan w:val="3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四、结转下年度继续办理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Theme="minorHAnsi" w:eastAsiaTheme="minorEastAsia" w:cstheme="minorBidi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both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四、政府信息公开行政复议、行政诉讼情况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  <w:tbl>
            <w:tblPr>
              <w:tblStyle w:val="4"/>
              <w:tblW w:w="9748" w:type="dxa"/>
              <w:jc w:val="center"/>
              <w:tblBorders>
                <w:top w:val="outset" w:color="auto" w:sz="6" w:space="0"/>
                <w:left w:val="outset" w:color="auto" w:sz="6" w:space="0"/>
                <w:bottom w:val="outset" w:color="auto" w:sz="6" w:space="0"/>
                <w:right w:val="outset" w:color="auto" w:sz="6" w:space="0"/>
                <w:insideH w:val="outset" w:color="auto" w:sz="6" w:space="0"/>
                <w:insideV w:val="outset" w:color="auto" w:sz="6" w:space="0"/>
              </w:tblBorders>
              <w:shd w:val="clear" w:color="auto" w:fill="auto"/>
              <w:tblLayout w:type="autofit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649"/>
              <w:gridCol w:w="649"/>
              <w:gridCol w:w="649"/>
              <w:gridCol w:w="649"/>
              <w:gridCol w:w="649"/>
              <w:gridCol w:w="649"/>
              <w:gridCol w:w="649"/>
              <w:gridCol w:w="650"/>
              <w:gridCol w:w="650"/>
              <w:gridCol w:w="650"/>
              <w:gridCol w:w="651"/>
              <w:gridCol w:w="651"/>
              <w:gridCol w:w="651"/>
              <w:gridCol w:w="651"/>
              <w:gridCol w:w="651"/>
            </w:tblGrid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3210" w:type="dxa"/>
                  <w:gridSpan w:val="5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行政复议</w:t>
                  </w:r>
                </w:p>
              </w:tc>
              <w:tc>
                <w:tcPr>
                  <w:tcW w:w="6428" w:type="dxa"/>
                  <w:gridSpan w:val="10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行政诉讼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42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结果维持</w:t>
                  </w:r>
                </w:p>
              </w:tc>
              <w:tc>
                <w:tcPr>
                  <w:tcW w:w="642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结果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纠正</w:t>
                  </w:r>
                </w:p>
              </w:tc>
              <w:tc>
                <w:tcPr>
                  <w:tcW w:w="642" w:type="dxa"/>
                  <w:vMerge w:val="restart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其他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结果</w:t>
                  </w:r>
                </w:p>
              </w:tc>
              <w:tc>
                <w:tcPr>
                  <w:tcW w:w="642" w:type="dxa"/>
                  <w:vMerge w:val="restart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尚未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审结</w:t>
                  </w:r>
                </w:p>
              </w:tc>
              <w:tc>
                <w:tcPr>
                  <w:tcW w:w="642" w:type="dxa"/>
                  <w:vMerge w:val="restart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总计</w:t>
                  </w:r>
                </w:p>
              </w:tc>
              <w:tc>
                <w:tcPr>
                  <w:tcW w:w="3213" w:type="dxa"/>
                  <w:gridSpan w:val="5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未经复议直接起诉</w:t>
                  </w:r>
                </w:p>
              </w:tc>
              <w:tc>
                <w:tcPr>
                  <w:tcW w:w="3215" w:type="dxa"/>
                  <w:gridSpan w:val="5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复议后起诉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42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42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42" w:type="dxa"/>
                  <w:vMerge w:val="continue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42" w:type="dxa"/>
                  <w:vMerge w:val="continue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42" w:type="dxa"/>
                  <w:vMerge w:val="continue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42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结果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维持</w:t>
                  </w:r>
                </w:p>
              </w:tc>
              <w:tc>
                <w:tcPr>
                  <w:tcW w:w="642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结果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纠正</w:t>
                  </w:r>
                </w:p>
              </w:tc>
              <w:tc>
                <w:tcPr>
                  <w:tcW w:w="643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其他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结果</w:t>
                  </w:r>
                </w:p>
              </w:tc>
              <w:tc>
                <w:tcPr>
                  <w:tcW w:w="643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尚未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审结</w:t>
                  </w:r>
                </w:p>
              </w:tc>
              <w:tc>
                <w:tcPr>
                  <w:tcW w:w="643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总计</w:t>
                  </w:r>
                </w:p>
              </w:tc>
              <w:tc>
                <w:tcPr>
                  <w:tcW w:w="643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结果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维持</w:t>
                  </w:r>
                </w:p>
              </w:tc>
              <w:tc>
                <w:tcPr>
                  <w:tcW w:w="643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结果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纠正</w:t>
                  </w:r>
                </w:p>
              </w:tc>
              <w:tc>
                <w:tcPr>
                  <w:tcW w:w="643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其他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结果</w:t>
                  </w:r>
                </w:p>
              </w:tc>
              <w:tc>
                <w:tcPr>
                  <w:tcW w:w="643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尚未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审结</w:t>
                  </w:r>
                </w:p>
              </w:tc>
              <w:tc>
                <w:tcPr>
                  <w:tcW w:w="643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总计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72" w:hRule="atLeast"/>
                <w:jc w:val="center"/>
              </w:trPr>
              <w:tc>
                <w:tcPr>
                  <w:tcW w:w="642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eastAsiaTheme="minorEastAsia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642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eastAsiaTheme="minorEastAsia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642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eastAsiaTheme="minorEastAsia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642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eastAsiaTheme="minorEastAsia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642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eastAsiaTheme="minorEastAsia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642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eastAsiaTheme="minorEastAsia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642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eastAsiaTheme="minorEastAsia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64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eastAsiaTheme="minorEastAsia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64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eastAsiaTheme="minorEastAsia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64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eastAsiaTheme="minorEastAsia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64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eastAsiaTheme="minorEastAsia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64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eastAsiaTheme="minorEastAsia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64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eastAsiaTheme="minorEastAsia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64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eastAsiaTheme="minorEastAsia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64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eastAsiaTheme="minorEastAsia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jc w:val="left"/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both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五、存在的主要问题及改进情况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/>
              <w:ind w:left="0" w:right="0" w:firstLine="420"/>
              <w:jc w:val="both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2023年，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  <w:t>我局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政府信息公开的质量和数量均有提升，但仍存在不足，主要是信息公开内容仍需进一步充实，信息更新的频次还需提高，2024年我局将重点做好以下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  <w:t>两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方面工作：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  <w:t>一是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持续加大主动公开力度。不断拓宽信息公开渠道，继续发挥政府网站等新媒体作用，多渠道主动公开政府信息，提高政府信息公开的时效性、全面性和覆盖面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eastAsia="zh-CN"/>
              </w:rPr>
              <w:t>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二是强化信息公开指导。坚持“先审查、后公开”原则，及时总结信息公开先进经验和典型做法，强化信息审核，规范公开程序，确保信息公开及时、准确、全面。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both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六、其他需要报告的事项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  <w:t>2023年度，我局没有收取任何政府信息公开处理费。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ingFangSC-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kN2I2ZWE2ZDdmNTFlMTA4MmM5NWRlYTM0MjQwMWQifQ=="/>
  </w:docVars>
  <w:rsids>
    <w:rsidRoot w:val="00000000"/>
    <w:rsid w:val="00A45AE6"/>
    <w:rsid w:val="04067406"/>
    <w:rsid w:val="04071CE7"/>
    <w:rsid w:val="0456002C"/>
    <w:rsid w:val="04730898"/>
    <w:rsid w:val="053B343C"/>
    <w:rsid w:val="05D6094B"/>
    <w:rsid w:val="05F37672"/>
    <w:rsid w:val="08A2174C"/>
    <w:rsid w:val="097F23C2"/>
    <w:rsid w:val="0AEE2B95"/>
    <w:rsid w:val="0C3628D7"/>
    <w:rsid w:val="0C3E3DDF"/>
    <w:rsid w:val="0D805053"/>
    <w:rsid w:val="0E470BD3"/>
    <w:rsid w:val="0F890F70"/>
    <w:rsid w:val="107B2B95"/>
    <w:rsid w:val="10957D29"/>
    <w:rsid w:val="121B72E4"/>
    <w:rsid w:val="12552F8A"/>
    <w:rsid w:val="139D4FEA"/>
    <w:rsid w:val="154A73F4"/>
    <w:rsid w:val="15E11B06"/>
    <w:rsid w:val="166B756E"/>
    <w:rsid w:val="17CF7A73"/>
    <w:rsid w:val="18DD40DB"/>
    <w:rsid w:val="1AD734D7"/>
    <w:rsid w:val="1D007F39"/>
    <w:rsid w:val="205A3EA8"/>
    <w:rsid w:val="21B80CDF"/>
    <w:rsid w:val="2245274E"/>
    <w:rsid w:val="227836BA"/>
    <w:rsid w:val="246E3AC2"/>
    <w:rsid w:val="257B53F4"/>
    <w:rsid w:val="2838132E"/>
    <w:rsid w:val="28551EE0"/>
    <w:rsid w:val="2A2B114A"/>
    <w:rsid w:val="2AA607D0"/>
    <w:rsid w:val="2E8E201A"/>
    <w:rsid w:val="2EF17758"/>
    <w:rsid w:val="2EF638CE"/>
    <w:rsid w:val="2FBE65BC"/>
    <w:rsid w:val="322D17D7"/>
    <w:rsid w:val="333923CE"/>
    <w:rsid w:val="37D90D23"/>
    <w:rsid w:val="38F01AA4"/>
    <w:rsid w:val="39F32D49"/>
    <w:rsid w:val="3A40644A"/>
    <w:rsid w:val="3DF15DAF"/>
    <w:rsid w:val="3EA57EBD"/>
    <w:rsid w:val="3EBD4F60"/>
    <w:rsid w:val="40505A08"/>
    <w:rsid w:val="410E46E1"/>
    <w:rsid w:val="43003913"/>
    <w:rsid w:val="46081DC4"/>
    <w:rsid w:val="47C65E4E"/>
    <w:rsid w:val="495D72B2"/>
    <w:rsid w:val="49F223DE"/>
    <w:rsid w:val="4B4C2876"/>
    <w:rsid w:val="4DA93FB0"/>
    <w:rsid w:val="4E323FA5"/>
    <w:rsid w:val="4FFB328A"/>
    <w:rsid w:val="512565BA"/>
    <w:rsid w:val="53B01EB6"/>
    <w:rsid w:val="542B6A7C"/>
    <w:rsid w:val="56925F29"/>
    <w:rsid w:val="56A61397"/>
    <w:rsid w:val="58B84393"/>
    <w:rsid w:val="5B4223F6"/>
    <w:rsid w:val="5CA40764"/>
    <w:rsid w:val="5CBC7198"/>
    <w:rsid w:val="60D33FA2"/>
    <w:rsid w:val="635E5C71"/>
    <w:rsid w:val="650B1370"/>
    <w:rsid w:val="65153FD8"/>
    <w:rsid w:val="66125C97"/>
    <w:rsid w:val="6AF469D4"/>
    <w:rsid w:val="6B3C54D1"/>
    <w:rsid w:val="6ED053E9"/>
    <w:rsid w:val="701E6FE2"/>
    <w:rsid w:val="70531E2E"/>
    <w:rsid w:val="71276297"/>
    <w:rsid w:val="719A7113"/>
    <w:rsid w:val="71F7218F"/>
    <w:rsid w:val="73453384"/>
    <w:rsid w:val="76DA32A9"/>
    <w:rsid w:val="78A825F6"/>
    <w:rsid w:val="7990080D"/>
    <w:rsid w:val="7A0559C3"/>
    <w:rsid w:val="7E1626C8"/>
    <w:rsid w:val="7E750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2023-12-29T07:10:00Z</dcterms:created>
  <dc:creator>lenovo</dc:creator>
  <cp:lastModifiedBy>吉祥如意</cp:lastModifiedBy>
  <cp:lastPrinted>2024-01-03T02:08:00Z</cp:lastPrinted>
  <dcterms:modified xsi:type="dcterms:W3CDTF">2024-01-18T08:15:12Z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BE9974EDC9BC4A2F9C2BAE3FBEB3C64E</vt:lpwstr>
  </property>
</Properties>
</file>