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</w:rPr>
        <w:t>本报告由新华区城市管理综合执法局根据《中华人民共和国政府信息公开条例》（以下简称&lt;条例&gt;）等相关规定，制作统计数据编制而成。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全文包括总体情况、主动公开政府信息情况、收到和处理政府信息公开申请情况、行政复议和行政诉讼情况、存在问题及改进措施五部分组成。本报告中所列数据统计期限为202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年1月1日至202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年12月31日。对本报告如有疑问，请与新华区城管局办公室联系（地址：沧州市新华区黄河东路32号，邮编：061000，电话：0317-3155112，电子信箱：xhcgzf@163.com）。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202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，按照市、区政府有关要求，新华区城市管理综合行政执法局进一步深入贯彻《中华人民共和国政府信息公开条例》，加大政府信息公开力度，政府信息公开各项工作有序开展、稳步推进。公开信息内容主要涉及政策法规、规划总结、工作动态部署、财务信息、环境保护、安全保障等重点公开信息。进一步践行“便民、依法、廉洁、高效”的服务承诺，进一步巩固了政务公开成果、提高了政务公开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</w:t>
      </w:r>
      <w:r>
        <w:rPr>
          <w:rFonts w:hint="eastAsia" w:ascii="楷体_GB2312" w:hAnsi="楷体_GB2312" w:eastAsia="楷体_GB2312" w:cs="楷体_GB231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</w:rPr>
        <w:t>）主动公开工作继续加强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CESI楷体-GB18030" w:hAnsi="CESI楷体-GB18030" w:eastAsia="CESI楷体-GB18030" w:cs="CESI楷体-GB18030"/>
          <w:b w:val="0"/>
          <w:bCs w:val="0"/>
          <w:i w:val="0"/>
          <w:iCs w:val="0"/>
          <w:spacing w:val="7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</w:rPr>
        <w:t>一是做好主动公开政府信息的更新和规范工作。及时、全面、准确地公开与群众利益密切相关的各类信息，截至202</w:t>
      </w:r>
      <w:r>
        <w:rPr>
          <w:rFonts w:hint="eastAsia" w:ascii="仿宋_GB2312" w:hAnsi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12月31日，拓展公开渠道，丰富公开载体。坚持以沧州市政府信息公开平台为首要公开平台，及时发布老旧小区改造、市政基础设施建设、园林绿化、市容市貌管理、环境卫生管理、燃气行业安全、冬季供暖等与百姓生活密切相关的各项内容。</w:t>
      </w:r>
      <w:r>
        <w:rPr>
          <w:rFonts w:hint="eastAsia" w:ascii="仿宋_GB2312" w:hAnsi="仿宋_GB2312" w:cs="仿宋_GB2312"/>
          <w:lang w:eastAsia="zh-CN"/>
        </w:rPr>
        <w:t>二</w:t>
      </w:r>
      <w:r>
        <w:rPr>
          <w:rFonts w:hint="eastAsia" w:ascii="仿宋_GB2312" w:hAnsi="仿宋_GB2312" w:eastAsia="仿宋_GB2312" w:cs="仿宋_GB2312"/>
        </w:rPr>
        <w:t>是积极回应社会关切。河北省信访综合信访业务信息系统以及阳光理政平台、市长信箱、区长信箱等接收信息近，全年共收到群众信访案件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320</w:t>
      </w:r>
      <w:r>
        <w:rPr>
          <w:rFonts w:hint="eastAsia" w:ascii="仿宋_GB2312" w:hAnsi="仿宋_GB2312" w:eastAsia="仿宋_GB2312" w:cs="仿宋_GB2312"/>
        </w:rPr>
        <w:t>余件,全部如期回复并妥善解决。 </w:t>
      </w:r>
    </w:p>
    <w:p>
      <w:pPr>
        <w:keepNext w:val="0"/>
        <w:keepLines w:val="0"/>
        <w:widowControl/>
        <w:suppressLineNumbers w:val="0"/>
        <w:ind w:leftChars="100" w:firstLine="660" w:firstLineChars="200"/>
        <w:jc w:val="left"/>
        <w:rPr>
          <w:rFonts w:hint="eastAsia" w:ascii="CESI楷体-GB18030" w:hAnsi="CESI楷体-GB18030" w:eastAsia="CESI楷体-GB18030" w:cs="CESI楷体-GB18030"/>
        </w:rPr>
      </w:pPr>
      <w:r>
        <w:rPr>
          <w:rFonts w:hint="eastAsia" w:ascii="CESI楷体-GB18030" w:hAnsi="CESI楷体-GB18030" w:eastAsia="CESI楷体-GB18030" w:cs="CESI楷体-GB18030"/>
          <w:b w:val="0"/>
          <w:bCs w:val="0"/>
          <w:i w:val="0"/>
          <w:iCs w:val="0"/>
          <w:spacing w:val="7"/>
          <w:sz w:val="32"/>
          <w:szCs w:val="32"/>
          <w:u w:val="none"/>
        </w:rPr>
        <w:t>（</w:t>
      </w:r>
      <w:r>
        <w:rPr>
          <w:rFonts w:hint="eastAsia" w:ascii="CESI楷体-GB18030" w:hAnsi="CESI楷体-GB18030" w:eastAsia="CESI楷体-GB18030" w:cs="CESI楷体-GB18030"/>
          <w:b w:val="0"/>
          <w:bCs w:val="0"/>
          <w:i w:val="0"/>
          <w:iCs w:val="0"/>
          <w:spacing w:val="7"/>
          <w:sz w:val="32"/>
          <w:szCs w:val="32"/>
          <w:u w:val="none"/>
          <w:lang w:val="en-US" w:eastAsia="zh-CN"/>
        </w:rPr>
        <w:t>二</w:t>
      </w:r>
      <w:r>
        <w:rPr>
          <w:rFonts w:hint="eastAsia" w:ascii="CESI楷体-GB18030" w:hAnsi="CESI楷体-GB18030" w:eastAsia="CESI楷体-GB18030" w:cs="CESI楷体-GB18030"/>
          <w:b w:val="0"/>
          <w:bCs w:val="0"/>
          <w:i w:val="0"/>
          <w:iCs w:val="0"/>
          <w:spacing w:val="7"/>
          <w:sz w:val="32"/>
          <w:szCs w:val="32"/>
          <w:u w:val="none"/>
        </w:rPr>
        <w:t>）</w:t>
      </w:r>
      <w:r>
        <w:rPr>
          <w:rFonts w:hint="eastAsia" w:ascii="CESI楷体-GB18030" w:hAnsi="CESI楷体-GB18030" w:eastAsia="CESI楷体-GB18030" w:cs="CESI楷体-GB18030"/>
          <w:kern w:val="0"/>
          <w:sz w:val="32"/>
          <w:szCs w:val="32"/>
          <w:lang w:val="en-US" w:eastAsia="zh-CN" w:bidi="ar"/>
        </w:rPr>
        <w:t>政府信息管理情况</w:t>
      </w:r>
    </w:p>
    <w:p>
      <w:pPr>
        <w:keepNext w:val="0"/>
        <w:keepLines w:val="0"/>
        <w:widowControl/>
        <w:suppressLineNumbers w:val="0"/>
        <w:ind w:firstLine="632" w:firstLineChars="200"/>
        <w:jc w:val="left"/>
        <w:rPr>
          <w:rFonts w:hint="eastAsia" w:ascii="CESI楷体-GB18030" w:hAnsi="CESI楷体-GB18030" w:eastAsia="CESI楷体-GB18030" w:cs="CESI楷体-GB18030"/>
          <w:b w:val="0"/>
          <w:bCs w:val="0"/>
          <w:i w:val="0"/>
          <w:iCs w:val="0"/>
          <w:spacing w:val="7"/>
          <w:sz w:val="32"/>
          <w:szCs w:val="32"/>
          <w:u w:val="none"/>
        </w:rPr>
      </w:pPr>
      <w:r>
        <w:rPr>
          <w:rFonts w:hint="eastAsia" w:ascii="CESI仿宋-GB18030" w:hAnsi="CESI仿宋-GB18030" w:eastAsia="CESI仿宋-GB18030" w:cs="CESI仿宋-GB18030"/>
          <w:kern w:val="0"/>
          <w:sz w:val="32"/>
          <w:szCs w:val="32"/>
          <w:lang w:val="en-US" w:eastAsia="zh-CN" w:bidi="ar"/>
        </w:rPr>
        <w:t>及时调整信息公开工作领导小组成员，全面统筹政务信息公开工作。结合城管工作实际，对2024年度政务公开责任进行了分解，明确公开内容、更新时限，进一步推动信息公开工作制度化、规范化，保障了政府信息公开各项工作按时间节点顺利推进。严格落实内容保障责任。坚持及时更新网站内容报送信息，规范信息报送格式，确保信息报送质量，坚持对涉及我局内容的信息更新做到及时准确。</w:t>
      </w:r>
    </w:p>
    <w:p>
      <w:pPr>
        <w:keepNext w:val="0"/>
        <w:keepLines w:val="0"/>
        <w:widowControl/>
        <w:suppressLineNumbers w:val="0"/>
        <w:spacing w:afterAutospacing="0"/>
        <w:ind w:leftChars="100" w:firstLine="660" w:firstLineChars="200"/>
        <w:jc w:val="left"/>
        <w:rPr>
          <w:rFonts w:hint="eastAsia" w:ascii="CESI楷体-GB18030" w:hAnsi="CESI楷体-GB18030" w:eastAsia="CESI楷体-GB18030" w:cs="CESI楷体-GB18030"/>
          <w:sz w:val="32"/>
          <w:szCs w:val="32"/>
        </w:rPr>
      </w:pPr>
      <w:r>
        <w:rPr>
          <w:rFonts w:hint="eastAsia" w:ascii="CESI楷体-GB18030" w:hAnsi="CESI楷体-GB18030" w:eastAsia="CESI楷体-GB18030" w:cs="CESI楷体-GB18030"/>
          <w:b w:val="0"/>
          <w:bCs w:val="0"/>
          <w:i w:val="0"/>
          <w:iCs w:val="0"/>
          <w:spacing w:val="7"/>
          <w:sz w:val="32"/>
          <w:szCs w:val="32"/>
          <w:u w:val="none"/>
        </w:rPr>
        <w:t>（</w:t>
      </w:r>
      <w:r>
        <w:rPr>
          <w:rFonts w:hint="eastAsia" w:ascii="CESI楷体-GB18030" w:hAnsi="CESI楷体-GB18030" w:eastAsia="CESI楷体-GB18030" w:cs="CESI楷体-GB18030"/>
          <w:b w:val="0"/>
          <w:bCs w:val="0"/>
          <w:i w:val="0"/>
          <w:iCs w:val="0"/>
          <w:spacing w:val="7"/>
          <w:sz w:val="32"/>
          <w:szCs w:val="32"/>
          <w:u w:val="none"/>
          <w:lang w:val="en-US" w:eastAsia="zh-CN"/>
        </w:rPr>
        <w:t>三</w:t>
      </w:r>
      <w:r>
        <w:rPr>
          <w:rFonts w:hint="eastAsia" w:ascii="CESI楷体-GB18030" w:hAnsi="CESI楷体-GB18030" w:eastAsia="CESI楷体-GB18030" w:cs="CESI楷体-GB18030"/>
          <w:b w:val="0"/>
          <w:bCs w:val="0"/>
          <w:i w:val="0"/>
          <w:iCs w:val="0"/>
          <w:spacing w:val="7"/>
          <w:sz w:val="32"/>
          <w:szCs w:val="32"/>
          <w:u w:val="none"/>
        </w:rPr>
        <w:t>）</w:t>
      </w:r>
      <w:r>
        <w:rPr>
          <w:rFonts w:hint="eastAsia" w:ascii="CESI楷体-GB18030" w:hAnsi="CESI楷体-GB18030" w:eastAsia="CESI楷体-GB18030" w:cs="CESI楷体-GB18030"/>
          <w:kern w:val="0"/>
          <w:sz w:val="32"/>
          <w:szCs w:val="32"/>
          <w:lang w:val="en-US" w:eastAsia="zh-CN" w:bidi="ar"/>
        </w:rPr>
        <w:t>监督保障情况</w:t>
      </w:r>
    </w:p>
    <w:p>
      <w:pPr>
        <w:keepNext w:val="0"/>
        <w:keepLines w:val="0"/>
        <w:widowControl/>
        <w:suppressLineNumbers w:val="0"/>
        <w:ind w:firstLine="632" w:firstLineChars="200"/>
        <w:jc w:val="left"/>
        <w:rPr>
          <w:rFonts w:hint="eastAsia" w:ascii="CESI仿宋-GB18030" w:hAnsi="CESI仿宋-GB18030" w:eastAsia="CESI仿宋-GB18030" w:cs="CESI仿宋-GB18030"/>
          <w:sz w:val="32"/>
          <w:szCs w:val="32"/>
        </w:rPr>
      </w:pPr>
      <w:r>
        <w:rPr>
          <w:rFonts w:hint="eastAsia" w:ascii="CESI仿宋-GB18030" w:hAnsi="CESI仿宋-GB18030" w:eastAsia="CESI仿宋-GB18030" w:cs="CESI仿宋-GB18030"/>
          <w:spacing w:val="0"/>
          <w:kern w:val="0"/>
          <w:sz w:val="32"/>
          <w:szCs w:val="32"/>
          <w:lang w:val="en-US" w:eastAsia="zh-CN" w:bidi="ar"/>
        </w:rPr>
        <w:t>指定专人负责信息的发布工作，明确职责、工作任务和工作要求，使政府信息公开工作高效、规范运行运行。进一步明确了职责、程序、公开方式和时限要求，严格执行保密制度及责任追究制度，严把政务公开审核关，既防止该公开的不公开，又防止不该公开的乱公开。</w:t>
      </w:r>
      <w:r>
        <w:rPr>
          <w:rFonts w:hint="eastAsia" w:ascii="CESI仿宋-GB18030" w:hAnsi="CESI仿宋-GB18030" w:eastAsia="CESI仿宋-GB18030" w:cs="CESI仿宋-GB18030"/>
          <w:kern w:val="0"/>
          <w:sz w:val="32"/>
          <w:szCs w:val="32"/>
          <w:lang w:val="en-US" w:eastAsia="zh-CN" w:bidi="ar"/>
        </w:rPr>
        <w:t>严格执行“三审三校”“先审后发”制度，</w:t>
      </w:r>
      <w:r>
        <w:rPr>
          <w:rFonts w:hint="eastAsia" w:ascii="CESI仿宋-GB18030" w:hAnsi="CESI仿宋-GB18030" w:eastAsia="CESI仿宋-GB18030" w:cs="CESI仿宋-GB18030"/>
          <w:spacing w:val="0"/>
          <w:kern w:val="0"/>
          <w:sz w:val="32"/>
          <w:szCs w:val="32"/>
          <w:lang w:val="en-US" w:eastAsia="zh-CN" w:bidi="ar"/>
        </w:rPr>
        <w:t>确保内容准确、表述规范。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firstLine="632" w:firstLineChars="200"/>
        <w:jc w:val="left"/>
        <w:rPr>
          <w:rFonts w:hint="eastAsia" w:ascii="CESI楷体-GB18030" w:hAnsi="CESI楷体-GB18030" w:eastAsia="CESI楷体-GB18030" w:cs="CESI楷体-GB18030"/>
          <w:kern w:val="0"/>
          <w:sz w:val="32"/>
          <w:szCs w:val="32"/>
          <w:lang w:val="en-US" w:eastAsia="zh-CN" w:bidi="ar"/>
        </w:rPr>
      </w:pPr>
      <w:r>
        <w:rPr>
          <w:rFonts w:hint="eastAsia" w:ascii="CESI楷体-GB18030" w:hAnsi="CESI楷体-GB18030" w:eastAsia="CESI楷体-GB18030" w:cs="CESI楷体-GB18030"/>
          <w:kern w:val="0"/>
          <w:sz w:val="32"/>
          <w:szCs w:val="32"/>
          <w:lang w:val="en-US" w:eastAsia="zh-CN" w:bidi="ar"/>
        </w:rPr>
        <w:t>依申请公开情况</w:t>
      </w:r>
    </w:p>
    <w:p>
      <w:pPr>
        <w:keepNext w:val="0"/>
        <w:keepLines w:val="0"/>
        <w:widowControl/>
        <w:suppressLineNumbers w:val="0"/>
        <w:ind w:firstLine="632" w:firstLineChars="20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CESI仿宋-GB18030" w:hAnsi="CESI仿宋-GB18030" w:eastAsia="CESI仿宋-GB18030" w:cs="CESI仿宋-GB18030"/>
          <w:kern w:val="0"/>
          <w:sz w:val="32"/>
          <w:szCs w:val="32"/>
          <w:lang w:val="en-US" w:eastAsia="zh-CN" w:bidi="ar"/>
        </w:rPr>
        <w:t>我局高度重视依申请公开工作，不断规范政府信息公开指南，切实完善依申请公开受理工作机制，坚持专人专办、领导督办、集体会商、风险排查，严格依法依规办理，加强信息建档管理，全面推行依申请公开办理规范化。全年，依法受理办结申请多件，其中包含网上申请、邮寄申请。</w:t>
      </w:r>
    </w:p>
    <w:p>
      <w:pPr>
        <w:keepNext w:val="0"/>
        <w:keepLines w:val="0"/>
        <w:widowControl/>
        <w:suppressLineNumbers w:val="0"/>
        <w:ind w:firstLine="632" w:firstLineChars="200"/>
        <w:jc w:val="left"/>
        <w:rPr>
          <w:rFonts w:hint="eastAsia" w:ascii="CESI楷体-GB18030" w:hAnsi="CESI楷体-GB18030" w:eastAsia="CESI楷体-GB18030" w:cs="CESI楷体-GB18030"/>
          <w:sz w:val="32"/>
          <w:szCs w:val="32"/>
        </w:rPr>
      </w:pPr>
      <w:r>
        <w:rPr>
          <w:rFonts w:hint="eastAsia" w:ascii="CESI楷体-GB18030" w:hAnsi="CESI楷体-GB18030" w:eastAsia="CESI楷体-GB18030" w:cs="CESI楷体-GB18030"/>
          <w:kern w:val="0"/>
          <w:sz w:val="32"/>
          <w:szCs w:val="32"/>
          <w:lang w:val="en-US" w:eastAsia="zh-CN" w:bidi="ar"/>
        </w:rPr>
        <w:t>（五）政府信息平台建设情况</w:t>
      </w:r>
    </w:p>
    <w:p>
      <w:pPr>
        <w:keepNext w:val="0"/>
        <w:keepLines w:val="0"/>
        <w:widowControl/>
        <w:suppressLineNumbers w:val="0"/>
        <w:ind w:firstLine="632" w:firstLineChars="200"/>
        <w:jc w:val="left"/>
        <w:rPr>
          <w:rFonts w:hint="eastAsia" w:ascii="CESI仿宋-GB18030" w:hAnsi="CESI仿宋-GB18030" w:eastAsia="CESI仿宋-GB18030" w:cs="CESI仿宋-GB18030"/>
          <w:sz w:val="32"/>
          <w:szCs w:val="32"/>
        </w:rPr>
      </w:pPr>
      <w:r>
        <w:rPr>
          <w:rFonts w:hint="eastAsia" w:ascii="CESI仿宋-GB18030" w:hAnsi="CESI仿宋-GB18030" w:eastAsia="CESI仿宋-GB18030" w:cs="CESI仿宋-GB18030"/>
          <w:color w:val="000000"/>
          <w:kern w:val="0"/>
          <w:sz w:val="32"/>
          <w:szCs w:val="32"/>
          <w:lang w:val="en-US" w:eastAsia="zh-CN" w:bidi="ar"/>
        </w:rPr>
        <w:t>调整优化政府信息公开专栏，规范设置“时政要闻、部委要闻”等栏目，分类分级调整优化政府信息公开栏目，开设多种服务体系建设主题分类，开设政府信息公开指南、政府信息公开制度、法定主动公开内容、政府网站监管年度表等多个专题专栏。</w:t>
      </w:r>
    </w:p>
    <w:p>
      <w:pPr>
        <w:ind w:firstLine="632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二、主动公开政府信息情况</w:t>
      </w:r>
    </w:p>
    <w:tbl>
      <w:tblPr>
        <w:tblStyle w:val="4"/>
        <w:tblW w:w="8140" w:type="dxa"/>
        <w:jc w:val="center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75"/>
        <w:gridCol w:w="1490"/>
        <w:gridCol w:w="1662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本年制发件数</w:t>
            </w:r>
          </w:p>
        </w:tc>
        <w:tc>
          <w:tcPr>
            <w:tcW w:w="14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本年废止件数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现行有效件数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 w:eastAsia="zh-CN"/>
              </w:rPr>
              <w:t>0 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 0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本年收费金额（单位：万元）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 0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三、收到和处理政府信息公开申请情况 </w:t>
      </w:r>
    </w:p>
    <w:tbl>
      <w:tblPr>
        <w:tblStyle w:val="4"/>
        <w:tblW w:w="877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6"/>
        <w:gridCol w:w="834"/>
        <w:gridCol w:w="2795"/>
        <w:gridCol w:w="529"/>
        <w:gridCol w:w="643"/>
        <w:gridCol w:w="611"/>
        <w:gridCol w:w="707"/>
        <w:gridCol w:w="708"/>
        <w:gridCol w:w="643"/>
        <w:gridCol w:w="65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426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50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426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5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自然人</w:t>
            </w:r>
          </w:p>
        </w:tc>
        <w:tc>
          <w:tcPr>
            <w:tcW w:w="331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法人或其他组织</w:t>
            </w:r>
          </w:p>
        </w:tc>
        <w:tc>
          <w:tcPr>
            <w:tcW w:w="65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6" w:hRule="atLeast"/>
          <w:jc w:val="center"/>
        </w:trPr>
        <w:tc>
          <w:tcPr>
            <w:tcW w:w="426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商业企业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科研机构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社会公益组织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法律服务机构</w:t>
            </w:r>
          </w:p>
        </w:tc>
        <w:tc>
          <w:tcPr>
            <w:tcW w:w="6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6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6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6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4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三、本年度办理结果</w:t>
            </w:r>
          </w:p>
        </w:tc>
        <w:tc>
          <w:tcPr>
            <w:tcW w:w="3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 w:eastAsia="zh-CN"/>
              </w:rPr>
              <w:t>（一）予以公开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3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（三）不予公开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1.属于国家秘密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2.其他法律行政法规禁止公开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3.危及“三安全一稳定”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4.保护第三方合法权益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5.属于三类内部事务信息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6.属于四类过程性信息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7.属于行政执法案卷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8.属于行政查询事项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（四）无法提供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1.本机关不掌握相关政府信息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2.没有现成信息需要另行制作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3.补正后申请内容仍不明确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（五）不予处理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1.信访举报投诉类申请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2.重复申请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3.要求提供公开出版物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4.无正当理由大量反复申请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1" w:hRule="atLeast"/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（六）其他处理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1" w:hRule="atLeast"/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1" w:hRule="atLeast"/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3、其他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3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（七）总计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6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四、结转下年度继续办理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四、政府信息公开行政复议、行政诉讼情况</w:t>
      </w:r>
    </w:p>
    <w:tbl>
      <w:tblPr>
        <w:tblStyle w:val="4"/>
        <w:tblW w:w="8732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5"/>
        <w:gridCol w:w="667"/>
        <w:gridCol w:w="700"/>
        <w:gridCol w:w="650"/>
        <w:gridCol w:w="617"/>
        <w:gridCol w:w="600"/>
        <w:gridCol w:w="500"/>
        <w:gridCol w:w="476"/>
        <w:gridCol w:w="500"/>
        <w:gridCol w:w="566"/>
        <w:gridCol w:w="584"/>
        <w:gridCol w:w="566"/>
        <w:gridCol w:w="550"/>
        <w:gridCol w:w="534"/>
        <w:gridCol w:w="55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行政复议</w:t>
            </w:r>
          </w:p>
        </w:tc>
        <w:tc>
          <w:tcPr>
            <w:tcW w:w="543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6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结果维持</w:t>
            </w:r>
          </w:p>
        </w:tc>
        <w:tc>
          <w:tcPr>
            <w:tcW w:w="6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结果纠正</w:t>
            </w:r>
          </w:p>
        </w:tc>
        <w:tc>
          <w:tcPr>
            <w:tcW w:w="7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尚未审结</w:t>
            </w:r>
          </w:p>
        </w:tc>
        <w:tc>
          <w:tcPr>
            <w:tcW w:w="61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总计</w:t>
            </w:r>
          </w:p>
        </w:tc>
        <w:tc>
          <w:tcPr>
            <w:tcW w:w="264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未经复议直接起诉</w:t>
            </w:r>
          </w:p>
        </w:tc>
        <w:tc>
          <w:tcPr>
            <w:tcW w:w="279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6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结果维持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结果纠正</w:t>
            </w:r>
          </w:p>
        </w:tc>
        <w:tc>
          <w:tcPr>
            <w:tcW w:w="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其他结果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尚未审结</w:t>
            </w:r>
          </w:p>
        </w:tc>
        <w:tc>
          <w:tcPr>
            <w:tcW w:w="5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结果维持</w:t>
            </w:r>
          </w:p>
        </w:tc>
        <w:tc>
          <w:tcPr>
            <w:tcW w:w="5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结果纠正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其他结果</w:t>
            </w:r>
          </w:p>
        </w:tc>
        <w:tc>
          <w:tcPr>
            <w:tcW w:w="5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尚未审结</w:t>
            </w:r>
          </w:p>
        </w:tc>
        <w:tc>
          <w:tcPr>
            <w:tcW w:w="5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五、存在的主要问题及改进情况 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年区城管局政府信息公开工作仍存在一些问题有待解决。一是公开的内容上有待进一步丰富，形式上也有待进一步完善；二是部分信息反馈不及时；三是信息公开工作人员业务能力水平有待进一步加强。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</w:rPr>
      </w:pPr>
      <w:r>
        <w:rPr>
          <w:rFonts w:hint="eastAsia"/>
        </w:rPr>
        <w:t>下一步我</w:t>
      </w:r>
      <w:r>
        <w:rPr>
          <w:rFonts w:hint="eastAsia"/>
          <w:lang w:eastAsia="zh-CN"/>
        </w:rPr>
        <w:t>局</w:t>
      </w:r>
      <w:r>
        <w:rPr>
          <w:rFonts w:hint="eastAsia"/>
        </w:rPr>
        <w:t>将</w:t>
      </w:r>
      <w:r>
        <w:rPr>
          <w:rFonts w:hint="eastAsia"/>
          <w:lang w:eastAsia="zh-CN"/>
        </w:rPr>
        <w:t>加大政府信息公开工作相关</w:t>
      </w:r>
      <w:r>
        <w:rPr>
          <w:rFonts w:hint="eastAsia"/>
        </w:rPr>
        <w:t>培训</w:t>
      </w:r>
      <w:r>
        <w:rPr>
          <w:rFonts w:hint="eastAsia"/>
          <w:lang w:eastAsia="zh-CN"/>
        </w:rPr>
        <w:t>的力度</w:t>
      </w:r>
      <w:r>
        <w:rPr>
          <w:rFonts w:hint="eastAsia"/>
        </w:rPr>
        <w:t>，</w:t>
      </w:r>
      <w:r>
        <w:rPr>
          <w:rFonts w:hint="eastAsia"/>
          <w:lang w:eastAsia="zh-CN"/>
        </w:rPr>
        <w:t>提升工作人员自身业务素质。保障工作质量，对应公开信息及时公开；</w:t>
      </w:r>
      <w:r>
        <w:rPr>
          <w:rFonts w:hint="eastAsia"/>
        </w:rPr>
        <w:t>将政府信息公开工作作为重点工作来抓，不断提高政府信息公开工作制度化、规范化水平</w:t>
      </w:r>
      <w:r>
        <w:rPr>
          <w:rFonts w:hint="eastAsia"/>
          <w:lang w:eastAsia="zh-CN"/>
        </w:rPr>
        <w:t>；</w:t>
      </w:r>
      <w:r>
        <w:rPr>
          <w:rFonts w:hint="eastAsia"/>
        </w:rPr>
        <w:t>将以发挥政府信息的服务作用、提高政府工作的透明度、促进依法行政为目标，围绕大局，进一步提高认识、落实责任，积极稳妥地推进政府信息公开工作。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2024年我局无收取信息公开处理费用情况。</w:t>
      </w:r>
    </w:p>
    <w:p>
      <w:pPr>
        <w:rPr>
          <w:rFonts w:hint="eastAsia"/>
        </w:rPr>
      </w:pPr>
      <w:r>
        <w:rPr>
          <w:rFonts w:hint="eastAsia"/>
        </w:rPr>
        <w:t>  </w:t>
      </w:r>
    </w:p>
    <w:p>
      <w:pPr>
        <w:jc w:val="right"/>
        <w:rPr>
          <w:rFonts w:hint="eastAsia"/>
        </w:rPr>
      </w:pPr>
      <w:r>
        <w:rPr>
          <w:rFonts w:hint="eastAsia"/>
          <w:lang w:eastAsia="zh-CN"/>
        </w:rPr>
        <w:t>沧州市</w:t>
      </w:r>
      <w:r>
        <w:rPr>
          <w:rFonts w:hint="eastAsia"/>
        </w:rPr>
        <w:t>新华区城市管理综合行政执法局</w:t>
      </w:r>
    </w:p>
    <w:p>
      <w:pPr>
        <w:jc w:val="right"/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</w:t>
      </w:r>
    </w:p>
    <w:p/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楷体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CESI仿宋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243AE7"/>
    <w:multiLevelType w:val="singleLevel"/>
    <w:tmpl w:val="6A243AE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475DA"/>
    <w:rsid w:val="0C6475DA"/>
    <w:rsid w:val="0ECB5123"/>
    <w:rsid w:val="1C043571"/>
    <w:rsid w:val="20A344F6"/>
    <w:rsid w:val="2A296BD3"/>
    <w:rsid w:val="2CC409C3"/>
    <w:rsid w:val="2E6B74CB"/>
    <w:rsid w:val="33A83A15"/>
    <w:rsid w:val="33EC1AEA"/>
    <w:rsid w:val="583F090A"/>
    <w:rsid w:val="71EF3DD8"/>
    <w:rsid w:val="75E5220A"/>
    <w:rsid w:val="7CAD4306"/>
    <w:rsid w:val="7E7A0280"/>
    <w:rsid w:val="7F30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Office_11.8.2.12316_F1E327BC-269C-435d-A152-05C5408002CA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2023-01-03T03:26:00Z</dcterms:created>
  <dc:creator>天皛无云</dc:creator>
  <cp:lastModifiedBy>办公室</cp:lastModifiedBy>
  <dcterms:modified xsi:type="dcterms:W3CDTF">2025-05-06T09:26:46Z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D21BC9902CB74A5B975A38A62D055379</vt:lpwstr>
  </property>
</Properties>
</file>