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64B" w:rsidRDefault="0005364B">
      <w:pPr>
        <w:jc w:val="center"/>
      </w:pPr>
    </w:p>
    <w:tbl>
      <w:tblPr>
        <w:tblpPr w:leftFromText="180" w:rightFromText="180" w:vertAnchor="text" w:horzAnchor="page" w:tblpX="200" w:tblpY="-430"/>
        <w:tblW w:w="11489" w:type="dxa"/>
        <w:tblBorders>
          <w:insideH w:val="outset" w:sz="6" w:space="0" w:color="auto"/>
          <w:insideV w:val="outset" w:sz="6" w:space="0" w:color="auto"/>
        </w:tblBorders>
        <w:tblLayout w:type="fixed"/>
        <w:tblCellMar>
          <w:left w:w="0" w:type="dxa"/>
          <w:right w:w="0" w:type="dxa"/>
        </w:tblCellMar>
        <w:tblLook w:val="0000"/>
      </w:tblPr>
      <w:tblGrid>
        <w:gridCol w:w="944"/>
        <w:gridCol w:w="615"/>
        <w:gridCol w:w="43"/>
        <w:gridCol w:w="824"/>
        <w:gridCol w:w="735"/>
        <w:gridCol w:w="1652"/>
        <w:gridCol w:w="1798"/>
        <w:gridCol w:w="735"/>
        <w:gridCol w:w="316"/>
        <w:gridCol w:w="900"/>
        <w:gridCol w:w="317"/>
        <w:gridCol w:w="549"/>
        <w:gridCol w:w="945"/>
        <w:gridCol w:w="219"/>
        <w:gridCol w:w="387"/>
        <w:gridCol w:w="510"/>
      </w:tblGrid>
      <w:tr w:rsidR="0005364B">
        <w:trPr>
          <w:trHeight w:val="284"/>
        </w:trPr>
        <w:tc>
          <w:tcPr>
            <w:tcW w:w="10979" w:type="dxa"/>
            <w:gridSpan w:val="15"/>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rFonts w:ascii="方正粗黑宋简体" w:eastAsia="方正粗黑宋简体"/>
                <w:sz w:val="28"/>
                <w:szCs w:val="28"/>
              </w:rPr>
            </w:pPr>
            <w:r>
              <w:rPr>
                <w:rFonts w:ascii="方正粗黑宋简体" w:eastAsia="方正粗黑宋简体" w:hint="eastAsia"/>
                <w:sz w:val="28"/>
                <w:szCs w:val="28"/>
              </w:rPr>
              <w:t>沧州市公安局新华分局行政执法事项清单</w:t>
            </w:r>
            <w:r>
              <w:rPr>
                <w:rFonts w:ascii="方正粗黑宋简体" w:eastAsia="方正粗黑宋简体"/>
                <w:sz w:val="28"/>
                <w:szCs w:val="28"/>
              </w:rPr>
              <w:t>（2023版）</w:t>
            </w:r>
            <w:bookmarkStart w:id="0" w:name="_GoBack"/>
            <w:bookmarkEnd w:id="0"/>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139"/>
        </w:trPr>
        <w:tc>
          <w:tcPr>
            <w:tcW w:w="945"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项目名称</w:t>
            </w:r>
          </w:p>
        </w:tc>
        <w:tc>
          <w:tcPr>
            <w:tcW w:w="658" w:type="dxa"/>
            <w:gridSpan w:val="2"/>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执法类别</w:t>
            </w:r>
          </w:p>
        </w:tc>
        <w:tc>
          <w:tcPr>
            <w:tcW w:w="824"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执法主体</w:t>
            </w:r>
          </w:p>
        </w:tc>
        <w:tc>
          <w:tcPr>
            <w:tcW w:w="735"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承办机构（处室）</w:t>
            </w:r>
          </w:p>
        </w:tc>
        <w:tc>
          <w:tcPr>
            <w:tcW w:w="5718" w:type="dxa"/>
            <w:gridSpan w:val="6"/>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执法依据</w:t>
            </w:r>
          </w:p>
        </w:tc>
        <w:tc>
          <w:tcPr>
            <w:tcW w:w="549"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 xml:space="preserve"> 实施对象      </w:t>
            </w:r>
          </w:p>
        </w:tc>
        <w:tc>
          <w:tcPr>
            <w:tcW w:w="1164"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办理时限</w:t>
            </w:r>
          </w:p>
        </w:tc>
        <w:tc>
          <w:tcPr>
            <w:tcW w:w="387"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收费依据和标准</w:t>
            </w:r>
          </w:p>
        </w:tc>
        <w:tc>
          <w:tcPr>
            <w:tcW w:w="510"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备注</w:t>
            </w:r>
          </w:p>
        </w:tc>
      </w:tr>
      <w:tr w:rsidR="0005364B">
        <w:trPr>
          <w:trHeight w:val="569"/>
        </w:trPr>
        <w:tc>
          <w:tcPr>
            <w:tcW w:w="945" w:type="dxa"/>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c>
          <w:tcPr>
            <w:tcW w:w="658" w:type="dxa"/>
            <w:gridSpan w:val="2"/>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c>
          <w:tcPr>
            <w:tcW w:w="824" w:type="dxa"/>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c>
          <w:tcPr>
            <w:tcW w:w="735" w:type="dxa"/>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法律</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行政法规</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地方性法规</w:t>
            </w: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部委规章</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政府规章</w:t>
            </w: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规范性文件</w:t>
            </w:r>
          </w:p>
        </w:tc>
        <w:tc>
          <w:tcPr>
            <w:tcW w:w="549" w:type="dxa"/>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法定时限</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jc w:val="center"/>
              <w:rPr>
                <w:szCs w:val="24"/>
              </w:rPr>
            </w:pPr>
            <w:r>
              <w:rPr>
                <w:rFonts w:hint="eastAsia"/>
                <w:szCs w:val="24"/>
              </w:rPr>
              <w:t>承诺时限</w:t>
            </w:r>
          </w:p>
        </w:tc>
        <w:tc>
          <w:tcPr>
            <w:tcW w:w="387" w:type="dxa"/>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c>
          <w:tcPr>
            <w:tcW w:w="510" w:type="dxa"/>
            <w:vMerge/>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tc>
      </w:tr>
      <w:tr w:rsidR="0005364B">
        <w:trPr>
          <w:trHeight w:val="134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剧毒化学品购买许可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《危险化学品安全管理条例》第六条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3个工作日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3个工作日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典当业、旅馆业、公章刻制业特种行业许可证核发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《国务院对确需保留的行政审批项目设定行政许可的决定》（国务院令第412号）第35、36、37项</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20个工作日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20个工作日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27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易制毒化学品购用证明核发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刑警大队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《易制毒化学品管理条例》(国务院令第445号)第十五条、第十七条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其他机关、事业单位、企业、自然人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10个工作日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70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集会游行示威的审批</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《中华人民共和国集会游行示威法》第六条、第七条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社会团体、自然人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15个工作日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15个工作日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81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违反互联网、计算机信息安全等行为的处罚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公共信息网络安全监察大队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互联网上网服务营业场所管理条例》（国务院363号令）第二十九、三十一、三十二、三十三条、《中华人民共和国计算机信息系统安全保护条例》（国务院第147号令）第二十、二十三条、《互联网信息服务管理办法》（国务院292号令）第二十条、《计算机信息网络国际联网安全保护管理办法》第二十、二十一、二十</w:t>
            </w:r>
            <w:r w:rsidR="004014B8">
              <w:rPr>
                <w:rFonts w:hint="eastAsia"/>
                <w:szCs w:val="24"/>
              </w:rPr>
              <w:t>三条；《中华人民共和国计算机信息网络国际联网管理暂行规定》（国务</w:t>
            </w:r>
            <w:r>
              <w:rPr>
                <w:rFonts w:hint="eastAsia"/>
                <w:szCs w:val="24"/>
              </w:rPr>
              <w:t>院195号令）第十四条、《中华人民共和国计算机信息网络国际联网管理暂行规定实施办法》第二十二条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《计算机病毒防治管理办法》（公安部第51号令）第十六、十七、十八、十九、二十条、《计算机信</w:t>
            </w:r>
            <w:r>
              <w:rPr>
                <w:rFonts w:hint="eastAsia"/>
                <w:szCs w:val="24"/>
              </w:rPr>
              <w:lastRenderedPageBreak/>
              <w:t>息系统安全专用产品检测和销售许可证管理办法》（公安部32号令）第二十、二十二、二十三条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互联网上网服务营业场所</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国际联网需国务院批准</w:t>
            </w: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违反大型群众性活动安全管理的处罚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《大型群众性活动安全管理条例》第二十条、二十一条、二十二条、二十三条、二十四条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大型群众性活动的承办者、承办者安全责任人、场所管理者、参加人员和有关主管部门工作人员、负责人员</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70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违反集会游行示威的处罚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《中华人民共和国集会游行示威法》第二十八条、二十九条、三十条、三十一条、三十二条、三十三条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《&lt;中华人民共和国集会游行示威法&gt;实施条</w:t>
            </w:r>
            <w:r>
              <w:rPr>
                <w:rFonts w:hint="eastAsia"/>
                <w:szCs w:val="24"/>
              </w:rPr>
              <w:lastRenderedPageBreak/>
              <w:t>例》第二十四条、二十五条、二十六条、二十七条、二十八条、二十九条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集会游行示威的参加人员</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27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违反保安服务管理相关规定的处罚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《保安服务管理条例》第四十一、四十二条、四十三、四十五、四十七条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70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违反娱乐场所管理相关规定的处罚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《娱乐场所管理条例》第五章第四十二条、四十三条、四十四条、四十五条、四十六条、四十九条、五十条、五十三条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对违反电子游艺业管理行为人或单位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对违反典当业治安管理行为的处罚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《典当业管理办法》（2005年2月9日商务部、公安部第8号令）第六十</w:t>
            </w:r>
            <w:r>
              <w:rPr>
                <w:rFonts w:hint="eastAsia"/>
                <w:szCs w:val="24"/>
              </w:rPr>
              <w:lastRenderedPageBreak/>
              <w:t>三条、六十五条、六十六条、六十七条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对违反典当业治安管理行为人或单位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70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对违反旅馆业治安管理行为的处罚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《旅馆业治安管理办法》第十五条、十六条、十七条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对违反旅馆业治安管理行为人或单位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56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对违反民用爆炸物品管理，由公安机关负责部分的行为进行处罚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 w:val="21"/>
              </w:rPr>
            </w:pPr>
            <w:r>
              <w:rPr>
                <w:rFonts w:hint="eastAsia"/>
                <w:szCs w:val="24"/>
              </w:rPr>
              <w:t>《中华人民共和国治安管理处罚法》第三十条、第三十一条、《民用爆炸物品安全管理条例》</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违反民用爆炸物品管理的行为人或单位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27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对违反剧毒易制爆物品管理，由公安机关负责部分的行为进行处罚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《中华人民共和国治安管理处罚法》第三十条、第三十一条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《危险化学品安全管理条例》</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违反剧毒易制爆物品管理的行为人或单位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56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对违反烟花爆竹安全管理，由公安机关负责部分的处罚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 w:val="21"/>
              </w:rPr>
            </w:pPr>
            <w:r>
              <w:rPr>
                <w:rFonts w:hint="eastAsia"/>
                <w:szCs w:val="24"/>
              </w:rPr>
              <w:t>《中华人民共和国治安管理处罚法》第三十条、第三十一条、《烟花爆竹安全管理条例》</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违反烟花爆竹安全管理的行为人或单位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56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对违反治安管理规定，非法携带弩、匕首等国家规定的管制器具的行为的处罚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《中华人民共和国治安管理处罚法》第三十二条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对非法携带弩、匕首等国家规定的管制器具的行为人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99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对违反放射源管理，由公安机关负责部分的行为的处罚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《中华人民共和国治安管理处罚法》第三十条、第三十一条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对违反放射源管理的行为人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56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对违反枪支管理行为的处罚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 w:val="21"/>
              </w:rPr>
            </w:pPr>
            <w:r>
              <w:rPr>
                <w:rFonts w:hint="eastAsia"/>
                <w:szCs w:val="24"/>
              </w:rPr>
              <w:t>《中华人民共和国治安管理处罚法》第三十二条、《中华人民共和国枪支管理法》</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对违反枪支管理规定的个人或者单位负有直接责任的主管人员和其他直接责任人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对违反《企业事业单位内部治安保卫条例》规定的处罚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经文保大队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《企业事业单位内部治安保卫条例》（国务院令第421号）第十九条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《公安机关监督检查企业事业单位内部治</w:t>
            </w:r>
            <w:r>
              <w:rPr>
                <w:rFonts w:hint="eastAsia"/>
                <w:szCs w:val="24"/>
              </w:rPr>
              <w:lastRenderedPageBreak/>
              <w:t>安保卫工作规定》（公安部令第93号）第八条、第十一条、第十二条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84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对违反《中华人民共和国护照法》和《普通护照和出入境通行证签发管理办法》的处罚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《中华人民共和国护照法》第十七、十八、十九条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《普通护照和出入境通行证签发</w:t>
            </w:r>
            <w:r>
              <w:rPr>
                <w:rFonts w:hint="eastAsia"/>
                <w:szCs w:val="24"/>
              </w:rPr>
              <w:lastRenderedPageBreak/>
              <w:t>管理办法》第二十三、二十五条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42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对其他违反《治安管理处罚法》行为的处罚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行政处罚</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《中华人民共和国治安管理处罚法》第二十三条至第七十六条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对违反治安管理的行为人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一个月，案件情况发杂的可延长一个月</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13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约束、当场盘问和继续盘问</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《中华人民共和国人民警察法》第九条、第十四条；《中华人民共和国治安管理处罚法》第十五条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99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强行检查性病、强制治疗、收容教育</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《全国人大常委会关于严禁卖淫嫖娼的决定》第四条第四款</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42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执行罚</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《中华人民共和国行政处罚法》第五十一条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先行登记</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《中华人民共和国行政处罚法》第三十七条第二款，《中华人民共和国治安管理处罚法》第八十九条第一款</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《公安机关办理行政案件程序规定》第九十四条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70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扣押</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《中华人民共和国治安管理处罚法》第八十九条第一款</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《公安机关办理行政案件程序规定》第九十一条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70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收缴、追缴</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《中华人民共和国治安管理处罚法》第十一条第一款</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《公安机关办理行政案件程序规定》第一百六十八条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70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强制传唤</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《中华人民共和国治安管理处罚法》第八十二条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《公安机关办理行政案件程序规定》第五十三条</w:t>
            </w:r>
            <w:r>
              <w:rPr>
                <w:rFonts w:hint="eastAsia"/>
                <w:szCs w:val="24"/>
              </w:rPr>
              <w:lastRenderedPageBreak/>
              <w:t>第三款</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70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临时查封</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行政强制</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《中华人民共和国消防法》第五十四条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84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计算机安全专用产品监督管理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公共信息网络安全监察大队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《计算机信息系统安全专用产品检测和销售许可证管理办法》</w:t>
            </w:r>
            <w:r>
              <w:rPr>
                <w:rFonts w:hint="eastAsia"/>
                <w:szCs w:val="24"/>
              </w:rPr>
              <w:lastRenderedPageBreak/>
              <w:t>（公安部32号令）第五条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84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计算机信息系统安全保护等级监督管理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公共信息网络安全监察大队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《中华人民共和国计算机信息系统安全保护条例》（国务院第147号令）第十七条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84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指导、监督单位内部治安保卫工作</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国内安全保卫大队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《企业事业单位内部治安保卫条例》（国务院令第421号）第三条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《公安机关监督检查企业事业单位内部治安保卫</w:t>
            </w:r>
            <w:r>
              <w:rPr>
                <w:rFonts w:hint="eastAsia"/>
                <w:szCs w:val="24"/>
              </w:rPr>
              <w:lastRenderedPageBreak/>
              <w:t>工作规定》（公安部令第93号）第二条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81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公共信息网络安全监察</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公共信息网络安全监察大队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计算机信息系统安全保护条例》（国务院第147号令）第十七条；《计算机信息网络国际联网安全保护管理办法》（1997年12月11日国务院批准1997年12月30日公安部发布根据2011年1月8日《国务院关于废止和修改部分行政法规的决定（2011年1月8日国务院令第588号公布施行）》修订）第三条；《互联网上网服务营业场所管理条例》（国务院363号令）第四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《计算机病毒防治管理办法》（公安部第51号令）第四条；《</w:t>
            </w:r>
            <w:r>
              <w:rPr>
                <w:rFonts w:hint="eastAsia"/>
                <w:szCs w:val="24"/>
              </w:rPr>
              <w:lastRenderedPageBreak/>
              <w:t>计算机信息系统安全专用产品检测和销售许可证管理办法》（公安部32号令）第五条；《互联网电子</w:t>
            </w:r>
            <w:r>
              <w:rPr>
                <w:rFonts w:hint="eastAsia"/>
                <w:szCs w:val="24"/>
              </w:rPr>
              <w:lastRenderedPageBreak/>
              <w:t>公告服务管理规定》（信息产业部第3号令）第三条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其他机  关、事业单位、企业、社会组织及自然人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99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依法对保安从业单位、保安培训单位和保安员的监督检查</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《保安服务管理条例》第三十六条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保安从业单位、保安培训单位和保安员</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42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对营业性演出进行治安管理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《营业性演出管理条例》第五条第二款</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营业性演出单位及相关个人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13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旅馆业治安管理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《旅馆业治安管理办法》第十四条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旅馆业单位及相关个人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国务院批准</w:t>
            </w:r>
          </w:p>
        </w:tc>
      </w:tr>
      <w:tr w:rsidR="0005364B">
        <w:trPr>
          <w:trHeight w:val="113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娱乐场所治安管理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《娱乐场所管理条例》第三条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娱乐场所单位及相关个人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13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对报废汽车回收活动实施治安管理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《报废汽车回收管理办法》第十七条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报废汽车回收业单位及相关个人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199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对收购废旧金属的企业和个体工商户进行治安业务指导和检查</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《废旧金属收购业治安管理办法》第十一条  </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废旧金属收购业单位及相关个人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国务院批准</w:t>
            </w:r>
          </w:p>
        </w:tc>
      </w:tr>
      <w:tr w:rsidR="0005364B">
        <w:trPr>
          <w:trHeight w:val="85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对典当业治安管理</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《典当管理办法》第四条</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典当业单位及相关个人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81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对危爆物品管理公安机关负责的相关环节进行检查</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《中华人民共和国枪支管理法》第四条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《烟花爆竹安全管理条例》第四条、《民用爆炸物品安全管理条例》第四条、《危险化学品安全管理条例》第六条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《关于放射源安全监管部门责任分工的通知》、《公安部关于执行〈对部分刀具实行管制的暂行规定〉</w:t>
            </w:r>
            <w:r>
              <w:rPr>
                <w:rFonts w:hint="eastAsia"/>
                <w:szCs w:val="24"/>
              </w:rPr>
              <w:lastRenderedPageBreak/>
              <w:t>的通知》（[83]公发治31号）、《关于加强弩管理的通知》、《关于进一步加强散装汽油购销安全监管工</w:t>
            </w:r>
            <w:r>
              <w:rPr>
                <w:rFonts w:hint="eastAsia"/>
                <w:szCs w:val="24"/>
              </w:rPr>
              <w:lastRenderedPageBreak/>
              <w:t>作的通知》（公治〔2014〕572号）</w:t>
            </w: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危爆物品从业单位和相关从业人员</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56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检查</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行政检查</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治安管理大队、派出所</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《中华人民共和国人民警察法》第九条，《中华人民共和国治安管理处罚法》第八十七条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违法行为人或单位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不收费</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第二类、第三类易制毒化学品购买备案证明</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禁毒中队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《易制毒化学品管理条例》（2005年8月26日国务院令第445号，2016年2月6日予以修改）第十七条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机关、事业单位、企业、个人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第二类易制毒化学品运输许可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禁毒中队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《易制毒化学品管理条例》（2005年8月26日国务院令第445号，2016年2月6日予以修改）第二十条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事业单位、企业</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第三类易制毒化学品运输事前备案</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禁毒中队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《易制毒化学品管理条例》（2005年8月26日国务院令第445号，2016年2月6日予以修改）第二十条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机关、事业单位、企业、个人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98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民用爆炸物品购买许可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《民用爆炸物品安全管理条例》（2006年5月10日国务院令第466号，2014年7月29日予以修改）第三条、第二十一条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企业、事业单位</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55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金融机构营业场所、金库安全防范设施建设方案审批及工程验收</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内保大队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《国务院对确需保留的行政审批项目设定行政许可的决定》（2004年6月29日国务院令第412号,2009年1月29日予以修改）附件第41项</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金融机构</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20日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9日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84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举行集会游行示威许可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《中华人民共和国集会游行示威法》（1989年10月31日主席令第20号）第六条、第七条第一款     </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《中华人民共和国集会游行示威法实施条例》（1992年5月12日国务院批准，1992年6月16日公安部令第8号，2011年1月8日予以修改）第七条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国家机关、社会团体、企业事业组织、个人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13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大型群众性活动安全许可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《大型群众性活动安全管理条例》（2007年9月14日国务院令第505号）第十一条、第十二条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企业、事业单位、行政机关、其他组织</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70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举办焰火晚会及其他大型焰火燃放活动许可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《烟花爆竹安全管理条例》（2006年1月21日国务院令第455号，2016年2月6日予以修改）第三条、第三十三条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机关、事业单位、企业、个人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55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典当业特种行业许可证核发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《国务院对确需保留的行政审批项目设定行政许可的决定》（2004年6月29日国务院令第412号,2009年1月29日予以修改）附件第35项</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55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公章刻制业特种行业许可证核发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《国务院对确需保留的行政审批项目设定行政许可的决定》（2004年6月29日国务院令第412号,2009年1月29日予以修改）附件第37项</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机关、事业单位、企业、社会组织</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55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旅馆业特种行业许可证核发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《国务院对确需保留的行政审批项目设定行政许可的决定》（2004年6月29日国务院令第412号,2009年1月29日予以修改）附件第36项</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70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互联网上网服务营业场所信息网络安全和消防安全审核</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网监大队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《互联网上网服务营业场所管理条例》（2002年9月29日国务院令第363号，2016年2月6日予以修改）第十一条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剧毒化学品购买许可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《危险化学品安全管理条例》（2002年1月26日国务院令第344号，2013年12月7日予以修改）第三十九条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企业</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2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烟花爆竹道路运输许可</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治安管理大队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《烟花爆竹安全管理条例》（2006年1月21日国务院令第455号，2016年2月6日予以修改）第三条、第二十二条、第二十三条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机关、事业单位、企业、个人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284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户口迁移审批</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户政科</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《中华人民共和国户口登记条例》（1958年1月9日主席令公布）第三条、第十条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公民</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13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普通护照签发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《中华人民共和国护照法》（2006年4月29日主席令第50号）第四条、第五条、第十条、第十一条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2日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84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内地居民前往港澳通行证、往来港澳通行证和签注签发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《中国公民因私事往来香港地区或者澳门地区的暂行管理办法》（1986年12月3日国务院批准，1986年12月25日公安部公布）第三条、第六条、第二十二条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55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大陆居民往来台湾通行证和签注签发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《中国公民往来台湾地区管理办法》（1991年12月17日国务院令第93号，2015年6月14日予以修改） 第三条、第六条、第二十二条、第二十五条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98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台湾居民来往大陆通行证签发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《中国公民往来台湾地区管理办法》（1991年12月17日国务院令第93号，2015年6月14日予以修改）第十三条、第二十三条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台湾居民</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外国人签证延期、换发、补发审批</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《中华人民共和国出境入境管理法》（2012年6月30日主席令第57号）第四条、第二十九条、第三十五条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外国人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外国人停留证件签发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《中华人民共和国出境入境管理法》（2012年6月30日主席令第57号）第四条、第三十四条、第三十五条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外国人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2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外国人居留证件签发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《中华人民共和国出境入境管理法》（2012年6月30日主席令第57号）第四条、第三十条、第三十一条、第三十二条、第三十五条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外国人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81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港澳台居民定居证明签发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《中国公民因私事往来香港地区或者澳门地区的暂行管理办法》（1986年12月3日国务院批准，1986年12月25日公安部公布）第十八条                         《中国公民往来台湾地区管理办法》（1991年12月17日国务院令第93号，2015年6月14日修订）第十七条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港澳台居民</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683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边境管理区通行证（深圳、珠海经济特区除外）核发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《国务院对确需保留的行政审批项目设定行政许可的决定》（2004年6月29日国务院令第412号,2009年1月29日予以修改）附件第42项：边境管理区通行证核发。实施机关：地（市）、县级人民政府公安机关</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484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出入境通行证签发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《中华人民共和国护照法》(2006年4月29日主席令第50号)第二十四条                           </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《中国公民因私事往来香港地区或者澳门地区的暂行管理办法》（1986年12月3日国务院批准，1986年12月25日公安部公布）第十四条、第二十三条</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个人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13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外国人旅行证签发</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行政许可</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《中华人民共和国出境入境管理法》(2012年6月30日主席令第57号)第四条、第四十四条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外国人</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70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普通护照</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行政收费</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国家发改委、财政部《关于降低电信网码号资源占用费等部分行政事业性收费</w:t>
            </w:r>
            <w:r>
              <w:rPr>
                <w:rFonts w:hint="eastAsia"/>
                <w:szCs w:val="24"/>
              </w:rPr>
              <w:lastRenderedPageBreak/>
              <w:t>标准的通知》发改价格【2017】1186号</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中华人民共和国公民 </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10日 </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每本160元，丢失补发护照的，每本160元 ，加注20元</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817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往来港澳通行证</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行政收费</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国家发改委、财政部《关于降低电信网码号资源占用费等部分</w:t>
            </w:r>
            <w:r>
              <w:rPr>
                <w:rFonts w:hint="eastAsia"/>
                <w:szCs w:val="24"/>
              </w:rPr>
              <w:lastRenderedPageBreak/>
              <w:t>行政事业性收费标准的通知》发改价格【2017】1186号</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中华人民共和国公民 </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每本80元，一次有效签注每件15元，二次有效签注每件30元，短期（</w:t>
            </w:r>
            <w:r>
              <w:rPr>
                <w:rFonts w:hint="eastAsia"/>
                <w:szCs w:val="24"/>
              </w:rPr>
              <w:lastRenderedPageBreak/>
              <w:t>不超过一年）多次有效签注每件80元，一年以上（不含一年）两年以下（含两年）多次有效签注每件120元，两年</w:t>
            </w:r>
            <w:r>
              <w:rPr>
                <w:rFonts w:hint="eastAsia"/>
                <w:szCs w:val="24"/>
              </w:rPr>
              <w:lastRenderedPageBreak/>
              <w:t>以上三年以下（不含三年）多次有效签注每件160元，长期（三年以上，含三年）多次有效签注每件240元</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70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大陆证</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行政收费</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出入境管理大队</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国家发改委、财政部《关于降低电信网码号资源占用费等部分行政事业性收费标准的通知》发改价格</w:t>
            </w:r>
            <w:r>
              <w:rPr>
                <w:rFonts w:hint="eastAsia"/>
                <w:szCs w:val="24"/>
              </w:rPr>
              <w:lastRenderedPageBreak/>
              <w:t>【2017】1186号</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中华人民共和国公民 </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10个工作日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电子通行证每证80元</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7124"/>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居民身份证工本费</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行政收费</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户政科</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《中华人民共和国居民身份证法》第二十条</w:t>
            </w: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国家发展改革委、财政部《关于居民身份证收费标准及有关问题的通知》</w:t>
            </w:r>
            <w:r>
              <w:rPr>
                <w:rFonts w:hint="eastAsia"/>
                <w:szCs w:val="24"/>
              </w:rPr>
              <w:lastRenderedPageBreak/>
              <w:t>（发改价格[2003]2322号）</w:t>
            </w:r>
            <w:r>
              <w:rPr>
                <w:rFonts w:hint="eastAsia"/>
                <w:szCs w:val="24"/>
              </w:rPr>
              <w:br/>
              <w:t>《河北省财政厅关于第二代居民身份证及新版临时居民身份证工本费管理</w:t>
            </w:r>
            <w:r>
              <w:rPr>
                <w:rFonts w:hint="eastAsia"/>
                <w:szCs w:val="24"/>
              </w:rPr>
              <w:lastRenderedPageBreak/>
              <w:t>有关问题的通知》（冀财综[2014]31号）</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《国务院关于换发第二代居民身份证有关问题的批复》（国函[2001]62号</w:t>
            </w:r>
            <w:r>
              <w:rPr>
                <w:rFonts w:hint="eastAsia"/>
                <w:szCs w:val="24"/>
              </w:rPr>
              <w:lastRenderedPageBreak/>
              <w:t>）</w:t>
            </w: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中华人民共和国公民 </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正式身份证：从受理之日起六十日临时证：三日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正式身份证：12-15工作日</w:t>
            </w:r>
            <w:r>
              <w:rPr>
                <w:rFonts w:hint="eastAsia"/>
                <w:szCs w:val="24"/>
              </w:rPr>
              <w:br/>
              <w:t>临时身份证：1个工作日</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首次申领、到期换领20元</w:t>
            </w:r>
            <w:r>
              <w:rPr>
                <w:rFonts w:hint="eastAsia"/>
                <w:szCs w:val="24"/>
              </w:rPr>
              <w:br/>
              <w:t>丢失补领、损坏换领40元</w:t>
            </w:r>
            <w:r>
              <w:rPr>
                <w:rFonts w:hint="eastAsia"/>
                <w:szCs w:val="24"/>
              </w:rPr>
              <w:br/>
              <w:t>新版临时证申领10元</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626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户籍管理证件户口簿工本费（限于丢失、补办）</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行政收费</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户政科</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价费字[1992]240号，财综[2012]97号,冀价行</w:t>
            </w:r>
            <w:r>
              <w:rPr>
                <w:rFonts w:hint="eastAsia"/>
                <w:szCs w:val="24"/>
              </w:rPr>
              <w:lastRenderedPageBreak/>
              <w:t>费函[1999]5号,冀价行费[1996]92号</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中华人民共和国公民 </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手续齐全当场办理</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丢失、补领在以下基础上加倍收取：手写6元/册，微机</w:t>
            </w:r>
            <w:r>
              <w:rPr>
                <w:rFonts w:hint="eastAsia"/>
                <w:szCs w:val="24"/>
              </w:rPr>
              <w:lastRenderedPageBreak/>
              <w:t>打印8元/册，集体户口簿30元/册。插页式户口簿和集体户口簿单页收取工本费0.5元；集体户口簿外皮5元，插</w:t>
            </w:r>
            <w:r>
              <w:rPr>
                <w:rFonts w:hint="eastAsia"/>
                <w:szCs w:val="24"/>
              </w:rPr>
              <w:lastRenderedPageBreak/>
              <w:t>页式户口簿外皮3.5元</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rPr>
          <w:trHeight w:val="3419"/>
        </w:trPr>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lastRenderedPageBreak/>
              <w:t>户籍管理证件户口迁移证件工本费（限于丢失、补办）</w:t>
            </w:r>
          </w:p>
        </w:tc>
        <w:tc>
          <w:tcPr>
            <w:tcW w:w="61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行政收费</w:t>
            </w:r>
          </w:p>
        </w:tc>
        <w:tc>
          <w:tcPr>
            <w:tcW w:w="867"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市公安局</w:t>
            </w: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户政科</w:t>
            </w:r>
          </w:p>
        </w:tc>
        <w:tc>
          <w:tcPr>
            <w:tcW w:w="1652"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1798"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价费字[1992]240号，财综[2012]97号,冀价行费函[1</w:t>
            </w:r>
            <w:r>
              <w:rPr>
                <w:rFonts w:hint="eastAsia"/>
                <w:szCs w:val="24"/>
              </w:rPr>
              <w:lastRenderedPageBreak/>
              <w:t>999]5号,冀价行费[1996]92号</w:t>
            </w:r>
          </w:p>
        </w:tc>
        <w:tc>
          <w:tcPr>
            <w:tcW w:w="90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316"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c>
          <w:tcPr>
            <w:tcW w:w="54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中华人民共和国公民 </w:t>
            </w:r>
          </w:p>
        </w:tc>
        <w:tc>
          <w:tcPr>
            <w:tcW w:w="945"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5个工作日</w:t>
            </w:r>
          </w:p>
        </w:tc>
        <w:tc>
          <w:tcPr>
            <w:tcW w:w="219"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手续齐全当场办理</w:t>
            </w:r>
          </w:p>
        </w:tc>
        <w:tc>
          <w:tcPr>
            <w:tcW w:w="387"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101D4B">
            <w:pPr>
              <w:rPr>
                <w:szCs w:val="24"/>
              </w:rPr>
            </w:pPr>
            <w:r>
              <w:rPr>
                <w:rFonts w:hint="eastAsia"/>
                <w:szCs w:val="24"/>
              </w:rPr>
              <w:t>丢失、补领在以下基础上加倍收取：10元/张</w:t>
            </w:r>
          </w:p>
        </w:tc>
        <w:tc>
          <w:tcPr>
            <w:tcW w:w="510" w:type="dxa"/>
            <w:tcBorders>
              <w:top w:val="single" w:sz="8" w:space="0" w:color="auto"/>
              <w:left w:val="single" w:sz="8" w:space="0" w:color="auto"/>
              <w:bottom w:val="single" w:sz="8" w:space="0" w:color="auto"/>
              <w:right w:val="single" w:sz="8" w:space="0" w:color="auto"/>
              <w:tl2br w:val="nil"/>
              <w:tr2bl w:val="nil"/>
            </w:tcBorders>
            <w:shd w:val="clear" w:color="auto" w:fill="auto"/>
            <w:noWrap/>
            <w:vAlign w:val="center"/>
          </w:tcPr>
          <w:p w:rsidR="0005364B" w:rsidRDefault="0005364B">
            <w:pPr>
              <w:rPr>
                <w:szCs w:val="24"/>
              </w:rPr>
            </w:pPr>
          </w:p>
        </w:tc>
      </w:tr>
      <w:tr w:rsidR="0005364B">
        <w:tc>
          <w:tcPr>
            <w:tcW w:w="945" w:type="dxa"/>
            <w:tcBorders>
              <w:top w:val="nil"/>
              <w:left w:val="nil"/>
              <w:bottom w:val="nil"/>
              <w:right w:val="nil"/>
              <w:tl2br w:val="nil"/>
              <w:tr2bl w:val="nil"/>
            </w:tcBorders>
            <w:shd w:val="clear" w:color="auto" w:fill="auto"/>
            <w:vAlign w:val="center"/>
          </w:tcPr>
          <w:p w:rsidR="0005364B" w:rsidRDefault="0005364B"/>
        </w:tc>
        <w:tc>
          <w:tcPr>
            <w:tcW w:w="615" w:type="dxa"/>
            <w:tcBorders>
              <w:top w:val="nil"/>
              <w:left w:val="nil"/>
              <w:bottom w:val="nil"/>
              <w:right w:val="nil"/>
              <w:tl2br w:val="nil"/>
              <w:tr2bl w:val="nil"/>
            </w:tcBorders>
            <w:shd w:val="clear" w:color="auto" w:fill="auto"/>
            <w:vAlign w:val="center"/>
          </w:tcPr>
          <w:p w:rsidR="0005364B" w:rsidRDefault="0005364B"/>
        </w:tc>
        <w:tc>
          <w:tcPr>
            <w:tcW w:w="43" w:type="dxa"/>
            <w:tcBorders>
              <w:top w:val="nil"/>
              <w:left w:val="nil"/>
              <w:bottom w:val="nil"/>
              <w:right w:val="nil"/>
              <w:tl2br w:val="nil"/>
              <w:tr2bl w:val="nil"/>
            </w:tcBorders>
            <w:shd w:val="clear" w:color="auto" w:fill="auto"/>
            <w:vAlign w:val="center"/>
          </w:tcPr>
          <w:p w:rsidR="0005364B" w:rsidRDefault="0005364B"/>
        </w:tc>
        <w:tc>
          <w:tcPr>
            <w:tcW w:w="824" w:type="dxa"/>
            <w:tcBorders>
              <w:top w:val="nil"/>
              <w:left w:val="nil"/>
              <w:bottom w:val="nil"/>
              <w:right w:val="nil"/>
              <w:tl2br w:val="nil"/>
              <w:tr2bl w:val="nil"/>
            </w:tcBorders>
            <w:shd w:val="clear" w:color="auto" w:fill="auto"/>
            <w:vAlign w:val="center"/>
          </w:tcPr>
          <w:p w:rsidR="0005364B" w:rsidRDefault="0005364B"/>
        </w:tc>
        <w:tc>
          <w:tcPr>
            <w:tcW w:w="735" w:type="dxa"/>
            <w:tcBorders>
              <w:top w:val="nil"/>
              <w:left w:val="nil"/>
              <w:bottom w:val="nil"/>
              <w:right w:val="nil"/>
              <w:tl2br w:val="nil"/>
              <w:tr2bl w:val="nil"/>
            </w:tcBorders>
            <w:shd w:val="clear" w:color="auto" w:fill="auto"/>
            <w:vAlign w:val="center"/>
          </w:tcPr>
          <w:p w:rsidR="0005364B" w:rsidRDefault="0005364B"/>
        </w:tc>
        <w:tc>
          <w:tcPr>
            <w:tcW w:w="1652" w:type="dxa"/>
            <w:tcBorders>
              <w:top w:val="nil"/>
              <w:left w:val="nil"/>
              <w:bottom w:val="nil"/>
              <w:right w:val="nil"/>
              <w:tl2br w:val="nil"/>
              <w:tr2bl w:val="nil"/>
            </w:tcBorders>
            <w:shd w:val="clear" w:color="auto" w:fill="auto"/>
            <w:vAlign w:val="center"/>
          </w:tcPr>
          <w:p w:rsidR="0005364B" w:rsidRDefault="0005364B"/>
        </w:tc>
        <w:tc>
          <w:tcPr>
            <w:tcW w:w="1798" w:type="dxa"/>
            <w:tcBorders>
              <w:top w:val="nil"/>
              <w:left w:val="nil"/>
              <w:bottom w:val="nil"/>
              <w:right w:val="nil"/>
              <w:tl2br w:val="nil"/>
              <w:tr2bl w:val="nil"/>
            </w:tcBorders>
            <w:shd w:val="clear" w:color="auto" w:fill="auto"/>
            <w:vAlign w:val="center"/>
          </w:tcPr>
          <w:p w:rsidR="0005364B" w:rsidRDefault="0005364B"/>
        </w:tc>
        <w:tc>
          <w:tcPr>
            <w:tcW w:w="735" w:type="dxa"/>
            <w:tcBorders>
              <w:top w:val="nil"/>
              <w:left w:val="nil"/>
              <w:bottom w:val="nil"/>
              <w:right w:val="nil"/>
              <w:tl2br w:val="nil"/>
              <w:tr2bl w:val="nil"/>
            </w:tcBorders>
            <w:shd w:val="clear" w:color="auto" w:fill="auto"/>
            <w:vAlign w:val="center"/>
          </w:tcPr>
          <w:p w:rsidR="0005364B" w:rsidRDefault="0005364B"/>
        </w:tc>
        <w:tc>
          <w:tcPr>
            <w:tcW w:w="316" w:type="dxa"/>
            <w:tcBorders>
              <w:top w:val="nil"/>
              <w:left w:val="nil"/>
              <w:bottom w:val="nil"/>
              <w:right w:val="nil"/>
              <w:tl2br w:val="nil"/>
              <w:tr2bl w:val="nil"/>
            </w:tcBorders>
            <w:shd w:val="clear" w:color="auto" w:fill="auto"/>
            <w:vAlign w:val="center"/>
          </w:tcPr>
          <w:p w:rsidR="0005364B" w:rsidRDefault="0005364B"/>
        </w:tc>
        <w:tc>
          <w:tcPr>
            <w:tcW w:w="900" w:type="dxa"/>
            <w:tcBorders>
              <w:top w:val="nil"/>
              <w:left w:val="nil"/>
              <w:bottom w:val="nil"/>
              <w:right w:val="nil"/>
              <w:tl2br w:val="nil"/>
              <w:tr2bl w:val="nil"/>
            </w:tcBorders>
            <w:shd w:val="clear" w:color="auto" w:fill="auto"/>
            <w:vAlign w:val="center"/>
          </w:tcPr>
          <w:p w:rsidR="0005364B" w:rsidRDefault="0005364B"/>
        </w:tc>
        <w:tc>
          <w:tcPr>
            <w:tcW w:w="316" w:type="dxa"/>
            <w:tcBorders>
              <w:top w:val="nil"/>
              <w:left w:val="nil"/>
              <w:bottom w:val="nil"/>
              <w:right w:val="nil"/>
              <w:tl2br w:val="nil"/>
              <w:tr2bl w:val="nil"/>
            </w:tcBorders>
            <w:shd w:val="clear" w:color="auto" w:fill="auto"/>
            <w:vAlign w:val="center"/>
          </w:tcPr>
          <w:p w:rsidR="0005364B" w:rsidRDefault="0005364B"/>
        </w:tc>
        <w:tc>
          <w:tcPr>
            <w:tcW w:w="549" w:type="dxa"/>
            <w:tcBorders>
              <w:top w:val="nil"/>
              <w:left w:val="nil"/>
              <w:bottom w:val="nil"/>
              <w:right w:val="nil"/>
              <w:tl2br w:val="nil"/>
              <w:tr2bl w:val="nil"/>
            </w:tcBorders>
            <w:shd w:val="clear" w:color="auto" w:fill="auto"/>
            <w:vAlign w:val="center"/>
          </w:tcPr>
          <w:p w:rsidR="0005364B" w:rsidRDefault="0005364B"/>
        </w:tc>
        <w:tc>
          <w:tcPr>
            <w:tcW w:w="945" w:type="dxa"/>
            <w:tcBorders>
              <w:top w:val="nil"/>
              <w:left w:val="nil"/>
              <w:bottom w:val="nil"/>
              <w:right w:val="nil"/>
              <w:tl2br w:val="nil"/>
              <w:tr2bl w:val="nil"/>
            </w:tcBorders>
            <w:shd w:val="clear" w:color="auto" w:fill="auto"/>
            <w:vAlign w:val="center"/>
          </w:tcPr>
          <w:p w:rsidR="0005364B" w:rsidRDefault="0005364B"/>
        </w:tc>
        <w:tc>
          <w:tcPr>
            <w:tcW w:w="219" w:type="dxa"/>
            <w:tcBorders>
              <w:top w:val="nil"/>
              <w:left w:val="nil"/>
              <w:bottom w:val="nil"/>
              <w:right w:val="nil"/>
              <w:tl2br w:val="nil"/>
              <w:tr2bl w:val="nil"/>
            </w:tcBorders>
            <w:shd w:val="clear" w:color="auto" w:fill="auto"/>
            <w:vAlign w:val="center"/>
          </w:tcPr>
          <w:p w:rsidR="0005364B" w:rsidRDefault="0005364B"/>
        </w:tc>
        <w:tc>
          <w:tcPr>
            <w:tcW w:w="387" w:type="dxa"/>
            <w:tcBorders>
              <w:top w:val="nil"/>
              <w:left w:val="nil"/>
              <w:bottom w:val="nil"/>
              <w:right w:val="nil"/>
              <w:tl2br w:val="nil"/>
              <w:tr2bl w:val="nil"/>
            </w:tcBorders>
            <w:shd w:val="clear" w:color="auto" w:fill="auto"/>
            <w:vAlign w:val="center"/>
          </w:tcPr>
          <w:p w:rsidR="0005364B" w:rsidRDefault="0005364B"/>
        </w:tc>
        <w:tc>
          <w:tcPr>
            <w:tcW w:w="510" w:type="dxa"/>
            <w:tcBorders>
              <w:top w:val="nil"/>
              <w:left w:val="nil"/>
              <w:bottom w:val="nil"/>
              <w:right w:val="nil"/>
              <w:tl2br w:val="nil"/>
              <w:tr2bl w:val="nil"/>
            </w:tcBorders>
            <w:shd w:val="clear" w:color="auto" w:fill="auto"/>
            <w:vAlign w:val="center"/>
          </w:tcPr>
          <w:p w:rsidR="0005364B" w:rsidRDefault="0005364B"/>
        </w:tc>
      </w:tr>
    </w:tbl>
    <w:p w:rsidR="0005364B" w:rsidRDefault="0005364B">
      <w:pPr>
        <w:rPr>
          <w:rFonts w:ascii="Times New Roman"/>
          <w:sz w:val="21"/>
        </w:rPr>
      </w:pPr>
    </w:p>
    <w:p w:rsidR="0005364B" w:rsidRDefault="0005364B"/>
    <w:sectPr w:rsidR="0005364B" w:rsidSect="0005364B">
      <w:pgSz w:w="11907" w:h="16839"/>
      <w:pgMar w:top="1440" w:right="1800" w:bottom="1440" w:left="1800" w:header="851" w:footer="992"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5E4B" w:rsidRDefault="003D5E4B" w:rsidP="004014B8">
      <w:r>
        <w:separator/>
      </w:r>
    </w:p>
  </w:endnote>
  <w:endnote w:type="continuationSeparator" w:id="0">
    <w:p w:rsidR="003D5E4B" w:rsidRDefault="003D5E4B" w:rsidP="004014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粗黑宋简体">
    <w:altName w:val="微软雅黑"/>
    <w:charset w:val="86"/>
    <w:family w:val="script"/>
    <w:pitch w:val="variable"/>
    <w:sig w:usb0="00000000"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5E4B" w:rsidRDefault="003D5E4B" w:rsidP="004014B8">
      <w:r>
        <w:separator/>
      </w:r>
    </w:p>
  </w:footnote>
  <w:footnote w:type="continuationSeparator" w:id="0">
    <w:p w:rsidR="003D5E4B" w:rsidRDefault="003D5E4B" w:rsidP="004014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drawingGridHorizontalSpacing w:val="105"/>
  <w:drawingGridVerticalSpacing w:val="156"/>
  <w:displayHorizontalDrawingGridEvery w:val="0"/>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ulTrailSpace/>
    <w:doNotExpandShiftReturn/>
    <w:adjustLineHeightInTable/>
    <w:useFELayout/>
    <w:useAltKinsokuLineBreakRules/>
  </w:compat>
  <w:rsids>
    <w:rsidRoot w:val="0005364B"/>
    <w:rsid w:val="0005364B"/>
    <w:rsid w:val="00101D4B"/>
    <w:rsid w:val="003D5E4B"/>
    <w:rsid w:val="004014B8"/>
    <w:rsid w:val="00F15A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5364B"/>
    <w:pPr>
      <w:widowControl w:val="0"/>
    </w:pPr>
    <w:rPr>
      <w:rFonts w:ascii="宋体"/>
      <w:kern w:val="2"/>
      <w:sz w:val="24"/>
      <w:szCs w:val="21"/>
    </w:rPr>
  </w:style>
  <w:style w:type="paragraph" w:styleId="1">
    <w:name w:val="heading 1"/>
    <w:basedOn w:val="a"/>
    <w:next w:val="a"/>
    <w:rsid w:val="0005364B"/>
    <w:pPr>
      <w:keepNext/>
      <w:keepLines/>
      <w:spacing w:before="340" w:after="330" w:line="578" w:lineRule="auto"/>
      <w:outlineLvl w:val="0"/>
    </w:pPr>
    <w:rPr>
      <w:b/>
      <w:kern w:val="44"/>
      <w:sz w:val="44"/>
    </w:rPr>
  </w:style>
  <w:style w:type="paragraph" w:styleId="2">
    <w:name w:val="heading 2"/>
    <w:basedOn w:val="a"/>
    <w:next w:val="a"/>
    <w:rsid w:val="0005364B"/>
    <w:pPr>
      <w:keepNext/>
      <w:keepLines/>
      <w:spacing w:before="260" w:after="260" w:line="415" w:lineRule="auto"/>
      <w:outlineLvl w:val="1"/>
    </w:pPr>
    <w:rPr>
      <w:rFonts w:ascii="Arial" w:eastAsia="黑体" w:hAnsi="Arial"/>
      <w:b/>
      <w:sz w:val="32"/>
    </w:rPr>
  </w:style>
  <w:style w:type="paragraph" w:styleId="3">
    <w:name w:val="heading 3"/>
    <w:basedOn w:val="a"/>
    <w:next w:val="a"/>
    <w:rsid w:val="0005364B"/>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14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014B8"/>
    <w:rPr>
      <w:rFonts w:ascii="宋体"/>
      <w:kern w:val="2"/>
      <w:sz w:val="18"/>
      <w:szCs w:val="18"/>
    </w:rPr>
  </w:style>
  <w:style w:type="paragraph" w:styleId="a4">
    <w:name w:val="footer"/>
    <w:basedOn w:val="a"/>
    <w:link w:val="Char0"/>
    <w:uiPriority w:val="99"/>
    <w:semiHidden/>
    <w:unhideWhenUsed/>
    <w:rsid w:val="004014B8"/>
    <w:pPr>
      <w:tabs>
        <w:tab w:val="center" w:pos="4153"/>
        <w:tab w:val="right" w:pos="8306"/>
      </w:tabs>
      <w:snapToGrid w:val="0"/>
    </w:pPr>
    <w:rPr>
      <w:sz w:val="18"/>
      <w:szCs w:val="18"/>
    </w:rPr>
  </w:style>
  <w:style w:type="character" w:customStyle="1" w:styleId="Char0">
    <w:name w:val="页脚 Char"/>
    <w:basedOn w:val="a0"/>
    <w:link w:val="a4"/>
    <w:uiPriority w:val="99"/>
    <w:semiHidden/>
    <w:rsid w:val="004014B8"/>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42</Pages>
  <Words>1400</Words>
  <Characters>7981</Characters>
  <Application>Microsoft Office Word</Application>
  <DocSecurity>0</DocSecurity>
  <Lines>66</Lines>
  <Paragraphs>18</Paragraphs>
  <ScaleCrop>false</ScaleCrop>
  <Company/>
  <LinksUpToDate>false</LinksUpToDate>
  <CharactersWithSpaces>9363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yozo</dc:creator>
  <cp:lastModifiedBy>Administrator</cp:lastModifiedBy>
  <cp:revision>3</cp:revision>
  <dcterms:created xsi:type="dcterms:W3CDTF">2019-11-22T00:47:00Z</dcterms:created>
  <dcterms:modified xsi:type="dcterms:W3CDTF">2024-05-21T07:36:00Z</dcterms:modified>
</cp:coreProperties>
</file>